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F0C3" w14:textId="798C715D" w:rsidR="00915228" w:rsidRPr="00BC23F3" w:rsidRDefault="005336F4" w:rsidP="005336F4">
      <w:pPr>
        <w:jc w:val="center"/>
        <w:rPr>
          <w:b/>
          <w:bCs/>
        </w:rPr>
      </w:pPr>
      <w:r w:rsidRPr="00BC23F3">
        <w:rPr>
          <w:b/>
          <w:bCs/>
        </w:rPr>
        <w:t xml:space="preserve">EFECTOS DEL </w:t>
      </w:r>
      <w:r w:rsidRPr="00503309">
        <w:rPr>
          <w:b/>
          <w:bCs/>
        </w:rPr>
        <w:t xml:space="preserve">CAMBIO CLIMÁTICO </w:t>
      </w:r>
      <w:r w:rsidRPr="00BC23F3">
        <w:rPr>
          <w:b/>
          <w:bCs/>
        </w:rPr>
        <w:t>EN LA ZONA CENTRO-SUR DE CHILE</w:t>
      </w:r>
      <w:r w:rsidR="00BC23F3">
        <w:rPr>
          <w:b/>
          <w:bCs/>
        </w:rPr>
        <w:t>: ¿MÁS Y PEORES INCENDIOS EN EL FUTURO?</w:t>
      </w:r>
    </w:p>
    <w:p w14:paraId="45B64816" w14:textId="3A744147" w:rsidR="005336F4" w:rsidRDefault="0085030F" w:rsidP="005336F4">
      <w:pPr>
        <w:jc w:val="center"/>
      </w:pPr>
      <w:r>
        <w:t xml:space="preserve">Hernán Cofré &amp; </w:t>
      </w:r>
      <w:r w:rsidR="005336F4">
        <w:t xml:space="preserve">Cristian </w:t>
      </w:r>
      <w:proofErr w:type="spellStart"/>
      <w:r w:rsidR="005336F4">
        <w:t>Atala</w:t>
      </w:r>
      <w:proofErr w:type="spellEnd"/>
      <w:r w:rsidR="005336F4">
        <w:t xml:space="preserve"> (202</w:t>
      </w:r>
      <w:r w:rsidR="00641AC1">
        <w:t>6</w:t>
      </w:r>
      <w:r w:rsidR="005336F4">
        <w:t>)</w:t>
      </w:r>
    </w:p>
    <w:p w14:paraId="2B694EDA" w14:textId="3D346F0F" w:rsidR="00416DA5" w:rsidRPr="0085030F" w:rsidRDefault="00416DA5" w:rsidP="004A35FC">
      <w:pPr>
        <w:jc w:val="both"/>
        <w:rPr>
          <w:b/>
          <w:bCs/>
          <w:sz w:val="24"/>
          <w:szCs w:val="24"/>
        </w:rPr>
      </w:pPr>
      <w:r w:rsidRPr="0085030F">
        <w:rPr>
          <w:b/>
          <w:bCs/>
          <w:sz w:val="24"/>
          <w:szCs w:val="24"/>
        </w:rPr>
        <w:t>Introducción</w:t>
      </w:r>
    </w:p>
    <w:p w14:paraId="1A4C64A2" w14:textId="46C6E794" w:rsidR="009F7BC8" w:rsidRPr="009F7BC8" w:rsidRDefault="00B53560" w:rsidP="009F7BC8">
      <w:pPr>
        <w:jc w:val="both"/>
      </w:pPr>
      <w:r w:rsidRPr="00B53560">
        <w:t>E</w:t>
      </w:r>
      <w:r>
        <w:t xml:space="preserve">l Cambio Climático (CC) o </w:t>
      </w:r>
      <w:r w:rsidRPr="00B53560">
        <w:t xml:space="preserve">emergencia climática </w:t>
      </w:r>
      <w:r w:rsidR="00852FB6">
        <w:t xml:space="preserve">que estamos enfrentando actualmente </w:t>
      </w:r>
      <w:r w:rsidRPr="00B53560">
        <w:t xml:space="preserve">no solo incluye el aumento de la </w:t>
      </w:r>
      <w:proofErr w:type="spellStart"/>
      <w:r w:rsidRPr="00B53560">
        <w:t>T°</w:t>
      </w:r>
      <w:proofErr w:type="spellEnd"/>
      <w:r w:rsidRPr="00B53560">
        <w:t xml:space="preserve"> de la superficie terrestre</w:t>
      </w:r>
      <w:r>
        <w:t xml:space="preserve"> (Calentamiento Global)</w:t>
      </w:r>
      <w:r w:rsidRPr="00B53560">
        <w:t xml:space="preserve">, sino también el aumento del nivel del mar, su acidificación, deshielo de glaciares, </w:t>
      </w:r>
      <w:r w:rsidR="00EC1EA2">
        <w:t xml:space="preserve">cambios en los patrones de precipitación, </w:t>
      </w:r>
      <w:r w:rsidRPr="00B53560">
        <w:t>e</w:t>
      </w:r>
      <w:r>
        <w:t>ntre otras alteraciones globales (</w:t>
      </w:r>
      <w:proofErr w:type="spellStart"/>
      <w:r w:rsidRPr="00B53560">
        <w:t>Ripple</w:t>
      </w:r>
      <w:proofErr w:type="spellEnd"/>
      <w:r>
        <w:t xml:space="preserve"> et al., 2024)</w:t>
      </w:r>
      <w:r w:rsidRPr="00B53560">
        <w:t>.</w:t>
      </w:r>
      <w:r w:rsidR="009F7BC8" w:rsidRPr="009F7BC8">
        <w:t xml:space="preserve"> El cambio en las variables del clima global se asocia a diferentes variables de nuestra vida moderna como el tamaño de la población mundial o la deforestación, entre otros. </w:t>
      </w:r>
      <w:r w:rsidR="009F7BC8">
        <w:t xml:space="preserve"> </w:t>
      </w:r>
      <w:r w:rsidR="009F7BC8" w:rsidRPr="009F7BC8">
        <w:t xml:space="preserve">Los efectos del cambio climático en </w:t>
      </w:r>
      <w:r w:rsidR="009F7BC8">
        <w:t>la biósfera</w:t>
      </w:r>
      <w:r w:rsidR="009F7BC8" w:rsidRPr="009F7BC8">
        <w:t xml:space="preserve"> pueden clasificarse en dos grandes categorías: cambios graduales a largo plazo</w:t>
      </w:r>
      <w:r w:rsidR="009F7BC8">
        <w:t>, como el aumento de las temperaturas o cambios en la estacionalidad</w:t>
      </w:r>
      <w:r w:rsidR="00EC1EA2">
        <w:t>,</w:t>
      </w:r>
      <w:r w:rsidR="009F7BC8" w:rsidRPr="009F7BC8">
        <w:t xml:space="preserve"> y fenómenos extremos que aumentarán en frecuencia y gravedad</w:t>
      </w:r>
      <w:r w:rsidR="009F7BC8">
        <w:t xml:space="preserve"> como incendios</w:t>
      </w:r>
      <w:r w:rsidR="00EC1EA2">
        <w:t>, inundaciones</w:t>
      </w:r>
      <w:r w:rsidR="009F7BC8">
        <w:t xml:space="preserve"> o mega sequías (</w:t>
      </w:r>
      <w:r w:rsidR="009F7BC8" w:rsidRPr="009F7BC8">
        <w:t>Harvey et al., 2022).</w:t>
      </w:r>
    </w:p>
    <w:p w14:paraId="700A02D2" w14:textId="05932D63" w:rsidR="00863957" w:rsidRDefault="004A35FC" w:rsidP="00863957">
      <w:pPr>
        <w:jc w:val="both"/>
      </w:pPr>
      <w:r w:rsidRPr="004A35FC">
        <w:t>Los incendios forestales han aumentado en</w:t>
      </w:r>
      <w:r>
        <w:t xml:space="preserve"> </w:t>
      </w:r>
      <w:r w:rsidRPr="004A35FC">
        <w:t>los últimos años en la zona centro-sur de Chile</w:t>
      </w:r>
      <w:r>
        <w:t xml:space="preserve"> </w:t>
      </w:r>
      <w:r w:rsidRPr="004A35FC">
        <w:rPr>
          <w:b/>
          <w:bCs/>
        </w:rPr>
        <w:t>(Figura 1),</w:t>
      </w:r>
      <w:r w:rsidRPr="004A35FC">
        <w:t xml:space="preserve"> siendo las temporadas 201</w:t>
      </w:r>
      <w:r>
        <w:t>6</w:t>
      </w:r>
      <w:r w:rsidRPr="004A35FC">
        <w:t>-201</w:t>
      </w:r>
      <w:r>
        <w:t xml:space="preserve">7 </w:t>
      </w:r>
      <w:r w:rsidRPr="004A35FC">
        <w:t>y 20</w:t>
      </w:r>
      <w:r>
        <w:t>22</w:t>
      </w:r>
      <w:r w:rsidRPr="004A35FC">
        <w:t>-20</w:t>
      </w:r>
      <w:r>
        <w:t>23</w:t>
      </w:r>
      <w:r w:rsidRPr="004A35FC">
        <w:t xml:space="preserve"> particularmente </w:t>
      </w:r>
      <w:r w:rsidR="00852FB6">
        <w:t>catastróficas</w:t>
      </w:r>
      <w:r>
        <w:t xml:space="preserve"> </w:t>
      </w:r>
      <w:r w:rsidRPr="004A35FC">
        <w:t>en términos de área quemada.</w:t>
      </w:r>
      <w:r>
        <w:t xml:space="preserve"> </w:t>
      </w:r>
      <w:r w:rsidRPr="004A35FC">
        <w:t>Junto con esto, la temporada de incendios se ha ampliado</w:t>
      </w:r>
      <w:r>
        <w:t xml:space="preserve"> </w:t>
      </w:r>
      <w:r w:rsidRPr="004A35FC">
        <w:t>significativamente en la última década. Antes del 2010, la</w:t>
      </w:r>
      <w:r>
        <w:t xml:space="preserve"> </w:t>
      </w:r>
      <w:r w:rsidRPr="004A35FC">
        <w:t>temporada de incendios mayores de 200 hectáreas</w:t>
      </w:r>
      <w:r>
        <w:t xml:space="preserve"> </w:t>
      </w:r>
      <w:r w:rsidRPr="004A35FC">
        <w:t>ocurría, típicamente, entre fines de noviembre y fines</w:t>
      </w:r>
      <w:r>
        <w:t xml:space="preserve"> </w:t>
      </w:r>
      <w:r w:rsidRPr="004A35FC">
        <w:t>de abril del año siguiente. Pero en la actualidad, estos</w:t>
      </w:r>
      <w:r>
        <w:t xml:space="preserve"> </w:t>
      </w:r>
      <w:r w:rsidRPr="004A35FC">
        <w:t>grandes incendios inician, en promedio, a mediados de</w:t>
      </w:r>
      <w:r>
        <w:t xml:space="preserve"> </w:t>
      </w:r>
      <w:r w:rsidRPr="004A35FC">
        <w:t>octubre y terminan a fines de mayo del año siguiente</w:t>
      </w:r>
      <w:r>
        <w:t>.</w:t>
      </w:r>
      <w:r w:rsidR="00863957">
        <w:t xml:space="preserve"> Por otro lado, s</w:t>
      </w:r>
      <w:r w:rsidR="00863957" w:rsidRPr="00863957">
        <w:t>egún los tipos de uso de suelo, un 50% de la superficie</w:t>
      </w:r>
      <w:r w:rsidR="00863957">
        <w:t xml:space="preserve"> </w:t>
      </w:r>
      <w:r w:rsidR="00863957" w:rsidRPr="00863957">
        <w:t>quemada como consecuencia de mega</w:t>
      </w:r>
      <w:r w:rsidR="00852FB6">
        <w:t xml:space="preserve"> </w:t>
      </w:r>
      <w:r w:rsidR="00863957" w:rsidRPr="00863957">
        <w:t>incendios entre</w:t>
      </w:r>
      <w:r w:rsidR="00863957">
        <w:t xml:space="preserve"> </w:t>
      </w:r>
      <w:r w:rsidR="00863957" w:rsidRPr="00863957">
        <w:t>1985 y 2018, estaba cubierta por plantaciones exóticas,</w:t>
      </w:r>
      <w:r w:rsidR="00863957">
        <w:t xml:space="preserve"> </w:t>
      </w:r>
      <w:r w:rsidR="00863957" w:rsidRPr="00863957">
        <w:t xml:space="preserve">principalmente de </w:t>
      </w:r>
      <w:proofErr w:type="spellStart"/>
      <w:r w:rsidR="00863957" w:rsidRPr="00863957">
        <w:rPr>
          <w:i/>
          <w:iCs/>
        </w:rPr>
        <w:t>Pinus</w:t>
      </w:r>
      <w:proofErr w:type="spellEnd"/>
      <w:r w:rsidR="00863957" w:rsidRPr="00863957">
        <w:rPr>
          <w:i/>
          <w:iCs/>
        </w:rPr>
        <w:t xml:space="preserve"> radiata </w:t>
      </w:r>
      <w:r w:rsidR="00863957" w:rsidRPr="00863957">
        <w:t xml:space="preserve">y </w:t>
      </w:r>
      <w:proofErr w:type="spellStart"/>
      <w:r w:rsidR="00863957">
        <w:t>E</w:t>
      </w:r>
      <w:r w:rsidR="00863957" w:rsidRPr="00863957">
        <w:rPr>
          <w:i/>
          <w:iCs/>
        </w:rPr>
        <w:t>ucalyptus</w:t>
      </w:r>
      <w:proofErr w:type="spellEnd"/>
      <w:r w:rsidR="00863957" w:rsidRPr="00863957">
        <w:rPr>
          <w:i/>
          <w:iCs/>
        </w:rPr>
        <w:t xml:space="preserve"> </w:t>
      </w:r>
      <w:proofErr w:type="spellStart"/>
      <w:r w:rsidR="00863957" w:rsidRPr="00863957">
        <w:rPr>
          <w:i/>
          <w:iCs/>
        </w:rPr>
        <w:t>spp</w:t>
      </w:r>
      <w:proofErr w:type="spellEnd"/>
      <w:r w:rsidR="00863957" w:rsidRPr="00863957">
        <w:t>. En</w:t>
      </w:r>
      <w:r w:rsidR="00863957">
        <w:t xml:space="preserve"> </w:t>
      </w:r>
      <w:r w:rsidR="00863957" w:rsidRPr="00863957">
        <w:t>tanto, bosque nativo, matorral y pastizal se vieron</w:t>
      </w:r>
      <w:r w:rsidR="00863957">
        <w:t xml:space="preserve"> </w:t>
      </w:r>
      <w:r w:rsidR="00863957" w:rsidRPr="00863957">
        <w:t>afectados en un 20%, 17% y 8%, respectivamente</w:t>
      </w:r>
      <w:r w:rsidR="00B53560">
        <w:t xml:space="preserve"> (González et al., 2020)</w:t>
      </w:r>
      <w:r w:rsidR="00863957">
        <w:t>.</w:t>
      </w:r>
    </w:p>
    <w:p w14:paraId="077571A4" w14:textId="36816EBE" w:rsidR="005336F4" w:rsidRDefault="00863957">
      <w:r>
        <w:rPr>
          <w:noProof/>
          <w:lang w:val="en-US"/>
        </w:rPr>
        <w:drawing>
          <wp:inline distT="0" distB="0" distL="0" distR="0" wp14:anchorId="1E823469" wp14:editId="0CB361F3">
            <wp:extent cx="6340475" cy="2988129"/>
            <wp:effectExtent l="0" t="0" r="3175" b="3175"/>
            <wp:docPr id="9169273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CF88B56-CAE7-487A-AE09-B1E801D5D0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F6D2741" w14:textId="187D5230" w:rsidR="005336F4" w:rsidRPr="00863957" w:rsidRDefault="00863957">
      <w:pPr>
        <w:rPr>
          <w:sz w:val="20"/>
          <w:szCs w:val="20"/>
        </w:rPr>
      </w:pPr>
      <w:r w:rsidRPr="00863957">
        <w:rPr>
          <w:i/>
          <w:iCs/>
          <w:sz w:val="20"/>
          <w:szCs w:val="20"/>
        </w:rPr>
        <w:t>Figura 1. Área quemada producto de incendios forestales (1964-2024). Datos obtenidos de la CO</w:t>
      </w:r>
      <w:r>
        <w:rPr>
          <w:i/>
          <w:iCs/>
          <w:sz w:val="20"/>
          <w:szCs w:val="20"/>
        </w:rPr>
        <w:t xml:space="preserve">NAF (Corporación </w:t>
      </w:r>
      <w:r w:rsidRPr="00863957">
        <w:rPr>
          <w:i/>
          <w:iCs/>
          <w:sz w:val="20"/>
          <w:szCs w:val="20"/>
        </w:rPr>
        <w:t>N</w:t>
      </w:r>
      <w:r>
        <w:rPr>
          <w:i/>
          <w:iCs/>
          <w:sz w:val="20"/>
          <w:szCs w:val="20"/>
        </w:rPr>
        <w:t xml:space="preserve">acional </w:t>
      </w:r>
      <w:r w:rsidRPr="00863957">
        <w:rPr>
          <w:i/>
          <w:iCs/>
          <w:sz w:val="20"/>
          <w:szCs w:val="20"/>
        </w:rPr>
        <w:t>F</w:t>
      </w:r>
      <w:r>
        <w:rPr>
          <w:i/>
          <w:iCs/>
          <w:sz w:val="20"/>
          <w:szCs w:val="20"/>
        </w:rPr>
        <w:t>orestal)</w:t>
      </w:r>
      <w:r w:rsidRPr="00863957">
        <w:rPr>
          <w:i/>
          <w:iCs/>
          <w:sz w:val="20"/>
          <w:szCs w:val="20"/>
        </w:rPr>
        <w:t xml:space="preserve">. </w:t>
      </w:r>
      <w:hyperlink r:id="rId8" w:history="1">
        <w:r w:rsidRPr="00863957">
          <w:rPr>
            <w:rStyle w:val="Hipervnculo"/>
            <w:sz w:val="20"/>
            <w:szCs w:val="20"/>
          </w:rPr>
          <w:t>https://www.conaf.cl/centro-documental/ocurrencia-y-dano-historico-nacional-1985-2023/</w:t>
        </w:r>
      </w:hyperlink>
    </w:p>
    <w:p w14:paraId="39E918BD" w14:textId="6381727D" w:rsidR="00416DA5" w:rsidRDefault="00863957" w:rsidP="00416DA5">
      <w:pPr>
        <w:jc w:val="both"/>
      </w:pPr>
      <w:r>
        <w:lastRenderedPageBreak/>
        <w:t xml:space="preserve">En cuanto a las causas de estos desastres, </w:t>
      </w:r>
      <w:r w:rsidR="00416DA5">
        <w:t xml:space="preserve">las condiciones atmosféricas, como la temperatura, precipitación, viento y humedad, ejercen un profundo control sobre el régimen de incendios. </w:t>
      </w:r>
      <w:r w:rsidR="00416DA5" w:rsidRPr="00416DA5">
        <w:t xml:space="preserve">En el caso de la zona centro y sur de Chile, </w:t>
      </w:r>
      <w:r w:rsidR="00416DA5">
        <w:t>j</w:t>
      </w:r>
      <w:r w:rsidR="00416DA5" w:rsidRPr="00416DA5">
        <w:t>unto con las altas temperaturas en el valle</w:t>
      </w:r>
      <w:r w:rsidR="00416DA5">
        <w:t xml:space="preserve"> </w:t>
      </w:r>
      <w:r w:rsidR="00416DA5" w:rsidRPr="00416DA5">
        <w:t>central (mayores a 30 °C), las olas de calor se caracterizan</w:t>
      </w:r>
      <w:r w:rsidR="00416DA5">
        <w:t xml:space="preserve"> </w:t>
      </w:r>
      <w:r w:rsidR="00416DA5" w:rsidRPr="00416DA5">
        <w:t>por una baja humedad y ausencia de nubosidad, fuertes</w:t>
      </w:r>
      <w:r w:rsidR="00416DA5">
        <w:t xml:space="preserve"> </w:t>
      </w:r>
      <w:r w:rsidR="00416DA5" w:rsidRPr="00416DA5">
        <w:t>vientos del sur (“surazos”) sobre el litoral y la cordillera</w:t>
      </w:r>
      <w:r w:rsidR="00416DA5">
        <w:t xml:space="preserve"> </w:t>
      </w:r>
      <w:r w:rsidR="00416DA5" w:rsidRPr="00416DA5">
        <w:t>de la Costa, e intensos vientos del este (Puelche) en la</w:t>
      </w:r>
      <w:r w:rsidR="00416DA5">
        <w:t xml:space="preserve"> </w:t>
      </w:r>
      <w:r w:rsidR="00416DA5" w:rsidRPr="00416DA5">
        <w:t>zona precordillerana</w:t>
      </w:r>
      <w:r w:rsidR="00B53560">
        <w:t xml:space="preserve"> (González et al., 2020)</w:t>
      </w:r>
      <w:r w:rsidR="00416DA5" w:rsidRPr="00416DA5">
        <w:t>.</w:t>
      </w:r>
    </w:p>
    <w:p w14:paraId="271937CC" w14:textId="02F9A361" w:rsidR="00416DA5" w:rsidRDefault="00416DA5" w:rsidP="00416DA5">
      <w:pPr>
        <w:jc w:val="both"/>
      </w:pPr>
      <w:r w:rsidRPr="00416DA5">
        <w:t>En las últimas décadas, la temperatura en el interior de</w:t>
      </w:r>
      <w:r>
        <w:t xml:space="preserve"> </w:t>
      </w:r>
      <w:r w:rsidRPr="00416DA5">
        <w:t>Chile central ha aumentado algunas décimas de grado</w:t>
      </w:r>
      <w:r>
        <w:t xml:space="preserve"> </w:t>
      </w:r>
      <w:r w:rsidRPr="00416DA5">
        <w:rPr>
          <w:b/>
          <w:bCs/>
        </w:rPr>
        <w:t>(Tabla 1).</w:t>
      </w:r>
      <w:r>
        <w:t xml:space="preserve"> Si este aumento se ha producido principalmente por el </w:t>
      </w:r>
      <w:r w:rsidRPr="00416DA5">
        <w:t xml:space="preserve">cambio climático antropogénico </w:t>
      </w:r>
      <w:r>
        <w:t xml:space="preserve">podríamos proponer como </w:t>
      </w:r>
      <w:r w:rsidR="0085030F" w:rsidRPr="0085030F">
        <w:rPr>
          <w:b/>
          <w:bCs/>
        </w:rPr>
        <w:t>predicción</w:t>
      </w:r>
      <w:r>
        <w:t xml:space="preserve"> que existirá una relación positiva entre la temperatura y los incendios en la zona centro sur de Chile. </w:t>
      </w:r>
      <w:r w:rsidRPr="00416DA5">
        <w:t>Las proyecciones hacia</w:t>
      </w:r>
      <w:r>
        <w:t xml:space="preserve"> </w:t>
      </w:r>
      <w:r w:rsidRPr="00416DA5">
        <w:t>mediados de siglo son poco alentadoras, pues la zona</w:t>
      </w:r>
      <w:r>
        <w:t xml:space="preserve"> </w:t>
      </w:r>
      <w:r w:rsidRPr="00416DA5">
        <w:t>central podría experimentar un incremento de entre</w:t>
      </w:r>
      <w:r>
        <w:t xml:space="preserve"> </w:t>
      </w:r>
      <w:r w:rsidRPr="00416DA5">
        <w:t>0.7 °C y 1.3 °C en verano -dependiendo del escenario de</w:t>
      </w:r>
      <w:r>
        <w:t xml:space="preserve"> </w:t>
      </w:r>
      <w:r w:rsidRPr="00416DA5">
        <w:t>emisiones globales de gases de efecto invernadero (GEI)-</w:t>
      </w:r>
      <w:r>
        <w:t xml:space="preserve"> </w:t>
      </w:r>
      <w:r w:rsidRPr="00416DA5">
        <w:t>junto a una reducción de 10-20% de las precipitaciones</w:t>
      </w:r>
      <w:r w:rsidR="00B53560">
        <w:t xml:space="preserve"> (González et al., 2020)</w:t>
      </w:r>
      <w:r w:rsidRPr="00416DA5">
        <w:t>.</w:t>
      </w:r>
      <w:r>
        <w:t xml:space="preserve"> </w:t>
      </w:r>
      <w:r w:rsidRPr="00416DA5">
        <w:t>Estas condiciones medias del futuro son similares a</w:t>
      </w:r>
      <w:r>
        <w:t xml:space="preserve"> </w:t>
      </w:r>
      <w:r w:rsidRPr="00416DA5">
        <w:t xml:space="preserve">las experimentadas </w:t>
      </w:r>
      <w:r>
        <w:t>los</w:t>
      </w:r>
      <w:r w:rsidRPr="00416DA5">
        <w:t xml:space="preserve"> verano</w:t>
      </w:r>
      <w:r>
        <w:t>s</w:t>
      </w:r>
      <w:r w:rsidRPr="00416DA5">
        <w:t xml:space="preserve"> 2016/2017 </w:t>
      </w:r>
      <w:r>
        <w:t xml:space="preserve">y 2022/2023 </w:t>
      </w:r>
      <w:r w:rsidRPr="00416DA5">
        <w:t>lo que –de no</w:t>
      </w:r>
      <w:r>
        <w:t xml:space="preserve"> </w:t>
      </w:r>
      <w:r w:rsidRPr="00416DA5">
        <w:t>existir cambios sustanciales en el uso del territorio y</w:t>
      </w:r>
      <w:r>
        <w:t xml:space="preserve"> </w:t>
      </w:r>
      <w:r w:rsidRPr="00416DA5">
        <w:t>la gestión de desastres– aumenta dramáticamente el</w:t>
      </w:r>
      <w:r>
        <w:t xml:space="preserve"> </w:t>
      </w:r>
      <w:r w:rsidRPr="00416DA5">
        <w:t>potencial de grandes incendios forestales.</w:t>
      </w:r>
    </w:p>
    <w:p w14:paraId="1043F648" w14:textId="77777777" w:rsidR="00416DA5" w:rsidRDefault="00416DA5" w:rsidP="00863957"/>
    <w:p w14:paraId="1298428D" w14:textId="3DF4F00E" w:rsidR="00416DA5" w:rsidRPr="0085030F" w:rsidRDefault="00416DA5" w:rsidP="00863957">
      <w:pPr>
        <w:rPr>
          <w:b/>
          <w:bCs/>
          <w:sz w:val="24"/>
          <w:szCs w:val="24"/>
        </w:rPr>
      </w:pPr>
      <w:r w:rsidRPr="0085030F">
        <w:rPr>
          <w:b/>
          <w:bCs/>
          <w:sz w:val="24"/>
          <w:szCs w:val="24"/>
        </w:rPr>
        <w:t>Actividad</w:t>
      </w:r>
    </w:p>
    <w:p w14:paraId="32DC8654" w14:textId="229033A1" w:rsidR="00416DA5" w:rsidRDefault="00416DA5" w:rsidP="00B53560">
      <w:pPr>
        <w:jc w:val="both"/>
      </w:pPr>
      <w:r>
        <w:t>De acuerdo con lo</w:t>
      </w:r>
      <w:r w:rsidR="0085030F">
        <w:t>s antecedentes revisados</w:t>
      </w:r>
      <w:r>
        <w:t xml:space="preserve"> </w:t>
      </w:r>
      <w:r w:rsidR="00B53560">
        <w:t xml:space="preserve">a partir de González et al., </w:t>
      </w:r>
      <w:r w:rsidR="00852FB6">
        <w:t>(</w:t>
      </w:r>
      <w:r w:rsidR="00B53560">
        <w:t xml:space="preserve">2020) y la información obtenida de fuentes confiables, como los sitios de la </w:t>
      </w:r>
      <w:proofErr w:type="spellStart"/>
      <w:r w:rsidR="00B53560">
        <w:t>Conaf</w:t>
      </w:r>
      <w:proofErr w:type="spellEnd"/>
      <w:r w:rsidR="00B53560">
        <w:t xml:space="preserve"> (</w:t>
      </w:r>
      <w:r w:rsidR="00B53560" w:rsidRPr="00B53560">
        <w:t>Corporación Nacional Forestal</w:t>
      </w:r>
      <w:r w:rsidR="00B53560">
        <w:t xml:space="preserve">) y la dirección meteorológica de Chile, </w:t>
      </w:r>
      <w:r w:rsidR="009F7BC8">
        <w:t xml:space="preserve">en la siguiente actividad le proponemos poner a prueba la hipótesis de que </w:t>
      </w:r>
      <w:r w:rsidR="009F7BC8" w:rsidRPr="009F7BC8">
        <w:rPr>
          <w:b/>
          <w:bCs/>
          <w:i/>
          <w:iCs/>
        </w:rPr>
        <w:t xml:space="preserve">el </w:t>
      </w:r>
      <w:r w:rsidR="00852FB6">
        <w:rPr>
          <w:b/>
          <w:bCs/>
          <w:i/>
          <w:iCs/>
        </w:rPr>
        <w:t xml:space="preserve">aumento de la temperatura, producto del </w:t>
      </w:r>
      <w:r w:rsidR="009F7BC8" w:rsidRPr="009F7BC8">
        <w:rPr>
          <w:b/>
          <w:bCs/>
          <w:i/>
          <w:iCs/>
        </w:rPr>
        <w:t>cambio climático antropogénico</w:t>
      </w:r>
      <w:r w:rsidR="00852FB6">
        <w:rPr>
          <w:b/>
          <w:bCs/>
          <w:i/>
          <w:iCs/>
        </w:rPr>
        <w:t>,</w:t>
      </w:r>
      <w:r w:rsidR="009F7BC8" w:rsidRPr="009F7BC8">
        <w:rPr>
          <w:b/>
          <w:bCs/>
          <w:i/>
          <w:iCs/>
        </w:rPr>
        <w:t xml:space="preserve"> </w:t>
      </w:r>
      <w:r w:rsidR="00D57AE3">
        <w:rPr>
          <w:b/>
          <w:bCs/>
          <w:i/>
          <w:iCs/>
        </w:rPr>
        <w:t xml:space="preserve">se relaciona positivamente con </w:t>
      </w:r>
      <w:r w:rsidR="009F7BC8" w:rsidRPr="009F7BC8">
        <w:rPr>
          <w:b/>
          <w:bCs/>
          <w:i/>
          <w:iCs/>
        </w:rPr>
        <w:t>el aumento de los incendio</w:t>
      </w:r>
      <w:r w:rsidR="009F7BC8">
        <w:rPr>
          <w:b/>
          <w:bCs/>
          <w:i/>
          <w:iCs/>
        </w:rPr>
        <w:t>s</w:t>
      </w:r>
      <w:r w:rsidR="009F7BC8" w:rsidRPr="009F7BC8">
        <w:rPr>
          <w:b/>
          <w:bCs/>
          <w:i/>
          <w:iCs/>
        </w:rPr>
        <w:t xml:space="preserve"> forestales que ha sufrido la zona centro</w:t>
      </w:r>
      <w:r w:rsidR="00852FB6">
        <w:rPr>
          <w:b/>
          <w:bCs/>
          <w:i/>
          <w:iCs/>
        </w:rPr>
        <w:t>-</w:t>
      </w:r>
      <w:r w:rsidR="009F7BC8" w:rsidRPr="009F7BC8">
        <w:rPr>
          <w:b/>
          <w:bCs/>
          <w:i/>
          <w:iCs/>
        </w:rPr>
        <w:t>sur de Chile</w:t>
      </w:r>
      <w:r w:rsidR="005740F1" w:rsidRPr="005740F1">
        <w:rPr>
          <w:b/>
          <w:bCs/>
          <w:i/>
          <w:iCs/>
        </w:rPr>
        <w:t xml:space="preserve"> </w:t>
      </w:r>
      <w:r w:rsidR="005740F1" w:rsidRPr="009F7BC8">
        <w:rPr>
          <w:b/>
          <w:bCs/>
          <w:i/>
          <w:iCs/>
        </w:rPr>
        <w:t>en la</w:t>
      </w:r>
      <w:r w:rsidR="005740F1">
        <w:rPr>
          <w:b/>
          <w:bCs/>
          <w:i/>
          <w:iCs/>
        </w:rPr>
        <w:t>s</w:t>
      </w:r>
      <w:r w:rsidR="005740F1" w:rsidRPr="009F7BC8">
        <w:rPr>
          <w:b/>
          <w:bCs/>
          <w:i/>
          <w:iCs/>
        </w:rPr>
        <w:t xml:space="preserve"> última</w:t>
      </w:r>
      <w:r w:rsidR="005740F1">
        <w:rPr>
          <w:b/>
          <w:bCs/>
          <w:i/>
          <w:iCs/>
        </w:rPr>
        <w:t>s</w:t>
      </w:r>
      <w:r w:rsidR="005740F1" w:rsidRPr="009F7BC8">
        <w:rPr>
          <w:b/>
          <w:bCs/>
          <w:i/>
          <w:iCs/>
        </w:rPr>
        <w:t xml:space="preserve"> década</w:t>
      </w:r>
      <w:r w:rsidR="005740F1">
        <w:rPr>
          <w:b/>
          <w:bCs/>
          <w:i/>
          <w:iCs/>
        </w:rPr>
        <w:t>s</w:t>
      </w:r>
      <w:r w:rsidR="009F7BC8">
        <w:t xml:space="preserve">. </w:t>
      </w:r>
    </w:p>
    <w:p w14:paraId="23D6B89A" w14:textId="77777777" w:rsidR="004812AB" w:rsidRDefault="004812AB" w:rsidP="00B53560">
      <w:pPr>
        <w:jc w:val="both"/>
      </w:pPr>
    </w:p>
    <w:p w14:paraId="04A88D9A" w14:textId="0D9B604E" w:rsidR="00B53560" w:rsidRDefault="009F7BC8" w:rsidP="00B53560">
      <w:pPr>
        <w:jc w:val="both"/>
      </w:pPr>
      <w:r>
        <w:t xml:space="preserve">Para ello le proponemos que: </w:t>
      </w:r>
    </w:p>
    <w:p w14:paraId="1741EC9B" w14:textId="3536BF1F" w:rsidR="009F7BC8" w:rsidRDefault="00745C49" w:rsidP="009F7BC8">
      <w:pPr>
        <w:pStyle w:val="Prrafodelista"/>
        <w:numPr>
          <w:ilvl w:val="0"/>
          <w:numId w:val="1"/>
        </w:numPr>
        <w:jc w:val="both"/>
      </w:pPr>
      <w:r>
        <w:t>En grupo, r</w:t>
      </w:r>
      <w:r w:rsidR="009F7BC8">
        <w:t>edacte una pregunta de investigación coherente con la hipótesis antes señalada</w:t>
      </w:r>
    </w:p>
    <w:p w14:paraId="27E440BF" w14:textId="758B2D90" w:rsidR="009F7BC8" w:rsidRDefault="009F7BC8" w:rsidP="009F7BC8">
      <w:pPr>
        <w:pStyle w:val="Prrafodelista"/>
        <w:numPr>
          <w:ilvl w:val="0"/>
          <w:numId w:val="1"/>
        </w:numPr>
        <w:jc w:val="both"/>
      </w:pPr>
      <w:r>
        <w:t xml:space="preserve">Explore los datos de la </w:t>
      </w:r>
      <w:r w:rsidR="00852FB6">
        <w:t>T</w:t>
      </w:r>
      <w:r>
        <w:t>abla 1 y decida cu</w:t>
      </w:r>
      <w:r w:rsidR="00852FB6">
        <w:t>á</w:t>
      </w:r>
      <w:r>
        <w:t>les variables utilizará para responder la pregunta de investigación</w:t>
      </w:r>
    </w:p>
    <w:p w14:paraId="3564BBB0" w14:textId="7F749FA4" w:rsidR="009F7BC8" w:rsidRDefault="009F7BC8" w:rsidP="009F7BC8">
      <w:pPr>
        <w:pStyle w:val="Prrafodelista"/>
        <w:numPr>
          <w:ilvl w:val="0"/>
          <w:numId w:val="1"/>
        </w:numPr>
        <w:jc w:val="both"/>
      </w:pPr>
      <w:r>
        <w:t>Presente los resultados de su investigación gráficamente con los cuales se pueda evaluar la hipótesis planteada</w:t>
      </w:r>
      <w:r w:rsidR="004812AB">
        <w:t xml:space="preserve"> (idealmente, el análisis gráfico debería ser apoyado por un análisis estadístico)</w:t>
      </w:r>
    </w:p>
    <w:p w14:paraId="758554BD" w14:textId="104EE1F4" w:rsidR="00CD4C34" w:rsidRDefault="002C6E09" w:rsidP="00CD4C34">
      <w:pPr>
        <w:pStyle w:val="Prrafodelista"/>
        <w:numPr>
          <w:ilvl w:val="0"/>
          <w:numId w:val="1"/>
        </w:numPr>
        <w:jc w:val="both"/>
      </w:pPr>
      <w:r>
        <w:t>Reflexione sobre</w:t>
      </w:r>
      <w:r w:rsidR="00CD4C34">
        <w:t xml:space="preserve"> cu</w:t>
      </w:r>
      <w:r w:rsidR="003A08CD">
        <w:t>á</w:t>
      </w:r>
      <w:r w:rsidR="00CD4C34">
        <w:t>les cree</w:t>
      </w:r>
      <w:r>
        <w:t>n</w:t>
      </w:r>
      <w:r w:rsidR="00CD4C34">
        <w:t xml:space="preserve"> que son l</w:t>
      </w:r>
      <w:r>
        <w:t>a</w:t>
      </w:r>
      <w:r w:rsidR="00CD4C34">
        <w:t xml:space="preserve">s principales consecuencias psicológicas y comunitarias que sufren las personas que se ven afectadas por un </w:t>
      </w:r>
      <w:proofErr w:type="spellStart"/>
      <w:r w:rsidR="00CD4C34">
        <w:t>mega</w:t>
      </w:r>
      <w:r w:rsidR="00745C49">
        <w:t>-</w:t>
      </w:r>
      <w:r w:rsidR="00CD4C34">
        <w:t>incendio</w:t>
      </w:r>
      <w:proofErr w:type="spellEnd"/>
    </w:p>
    <w:p w14:paraId="2EF1BBC8" w14:textId="74CED091" w:rsidR="00CD4C34" w:rsidRDefault="003A08CD" w:rsidP="00CD4C34">
      <w:pPr>
        <w:pStyle w:val="Prrafodelista"/>
        <w:numPr>
          <w:ilvl w:val="0"/>
          <w:numId w:val="1"/>
        </w:numPr>
        <w:jc w:val="both"/>
      </w:pPr>
      <w:r>
        <w:t xml:space="preserve">Averigua que medidas institucionales (gobierno central, regional y comunal) se han generado para abordar el problema de los </w:t>
      </w:r>
      <w:proofErr w:type="spellStart"/>
      <w:r>
        <w:t>mega-incendios</w:t>
      </w:r>
      <w:proofErr w:type="spellEnd"/>
      <w:r>
        <w:t xml:space="preserve"> en la zona central de Chile en el contexto del Cambio Climático. Evalúa críticamente estos esfuerzos. </w:t>
      </w:r>
    </w:p>
    <w:p w14:paraId="6F69B46B" w14:textId="77777777" w:rsidR="00B53560" w:rsidRDefault="00B53560" w:rsidP="00B53560">
      <w:pPr>
        <w:jc w:val="both"/>
      </w:pPr>
    </w:p>
    <w:p w14:paraId="1019EE97" w14:textId="77777777" w:rsidR="00B53560" w:rsidRDefault="00B53560" w:rsidP="00B53560">
      <w:pPr>
        <w:jc w:val="both"/>
      </w:pPr>
    </w:p>
    <w:p w14:paraId="32553626" w14:textId="11197E8F" w:rsidR="004801BF" w:rsidRDefault="004801BF" w:rsidP="00B53560">
      <w:pPr>
        <w:jc w:val="both"/>
      </w:pPr>
    </w:p>
    <w:p w14:paraId="1A18E9FA" w14:textId="1CD6CB4D" w:rsidR="005740F1" w:rsidRDefault="005740F1" w:rsidP="00B53560">
      <w:pPr>
        <w:jc w:val="both"/>
      </w:pPr>
    </w:p>
    <w:p w14:paraId="77421CD1" w14:textId="77777777" w:rsidR="005740F1" w:rsidRDefault="005740F1" w:rsidP="00B53560">
      <w:pPr>
        <w:jc w:val="both"/>
      </w:pPr>
    </w:p>
    <w:p w14:paraId="6545F5C0" w14:textId="2DFB3326" w:rsidR="00B53560" w:rsidRPr="00B53560" w:rsidRDefault="005336F4" w:rsidP="00B53560">
      <w:pPr>
        <w:jc w:val="both"/>
        <w:rPr>
          <w:sz w:val="20"/>
          <w:szCs w:val="20"/>
        </w:rPr>
      </w:pPr>
      <w:r w:rsidRPr="00B53560">
        <w:rPr>
          <w:sz w:val="20"/>
          <w:szCs w:val="20"/>
        </w:rPr>
        <w:lastRenderedPageBreak/>
        <w:t>Tabla 1.</w:t>
      </w:r>
      <w:r w:rsidR="00B53560" w:rsidRPr="00B53560">
        <w:rPr>
          <w:sz w:val="20"/>
          <w:szCs w:val="20"/>
        </w:rPr>
        <w:t xml:space="preserve"> Resumen de la información sobre incendios forestales y variables de temperatura entre las temporadas 1985-2024</w:t>
      </w:r>
      <w:r w:rsidR="00B45E6A">
        <w:rPr>
          <w:sz w:val="20"/>
          <w:szCs w:val="20"/>
        </w:rPr>
        <w:t>.</w:t>
      </w:r>
      <w:r w:rsidR="00B53560" w:rsidRPr="00B53560">
        <w:rPr>
          <w:sz w:val="20"/>
          <w:szCs w:val="20"/>
        </w:rPr>
        <w:t xml:space="preserve"> Datos obtenidos </w:t>
      </w:r>
      <w:r w:rsidR="00B53560">
        <w:rPr>
          <w:sz w:val="20"/>
          <w:szCs w:val="20"/>
        </w:rPr>
        <w:t xml:space="preserve">a partir del sitio de </w:t>
      </w:r>
      <w:proofErr w:type="spellStart"/>
      <w:r w:rsidR="00B53560">
        <w:rPr>
          <w:sz w:val="20"/>
          <w:szCs w:val="20"/>
        </w:rPr>
        <w:t>Conaf</w:t>
      </w:r>
      <w:proofErr w:type="spellEnd"/>
      <w:r w:rsidR="00B53560">
        <w:rPr>
          <w:sz w:val="20"/>
          <w:szCs w:val="20"/>
        </w:rPr>
        <w:t xml:space="preserve"> </w:t>
      </w:r>
      <w:r w:rsidR="00503309">
        <w:rPr>
          <w:sz w:val="20"/>
          <w:szCs w:val="20"/>
        </w:rPr>
        <w:t>(</w:t>
      </w:r>
      <w:r w:rsidR="00B53560">
        <w:rPr>
          <w:sz w:val="20"/>
          <w:szCs w:val="20"/>
        </w:rPr>
        <w:t>ver Figura 1</w:t>
      </w:r>
      <w:r w:rsidR="00503309">
        <w:rPr>
          <w:sz w:val="20"/>
          <w:szCs w:val="20"/>
        </w:rPr>
        <w:t>)</w:t>
      </w:r>
      <w:r w:rsidR="00B53560">
        <w:rPr>
          <w:sz w:val="20"/>
          <w:szCs w:val="20"/>
        </w:rPr>
        <w:t>,</w:t>
      </w:r>
      <w:r w:rsidR="00503309" w:rsidRPr="00503309">
        <w:rPr>
          <w:sz w:val="20"/>
          <w:szCs w:val="20"/>
        </w:rPr>
        <w:t xml:space="preserve"> </w:t>
      </w:r>
      <w:r w:rsidR="00503309">
        <w:rPr>
          <w:sz w:val="20"/>
          <w:szCs w:val="20"/>
        </w:rPr>
        <w:t>del sitio de la dirección meteorológica de Chile (</w:t>
      </w:r>
      <w:hyperlink r:id="rId9" w:history="1">
        <w:r w:rsidR="00503309" w:rsidRPr="0040029E">
          <w:rPr>
            <w:rStyle w:val="Hipervnculo"/>
            <w:sz w:val="20"/>
            <w:szCs w:val="20"/>
          </w:rPr>
          <w:t>https://climatologia.meteochile.gob.cl/application/historico/temperaturaHistoricaAnual/410005</w:t>
        </w:r>
      </w:hyperlink>
      <w:r w:rsidR="00503309">
        <w:rPr>
          <w:sz w:val="20"/>
          <w:szCs w:val="20"/>
        </w:rPr>
        <w:t>) y</w:t>
      </w:r>
      <w:r w:rsidR="00B53560">
        <w:rPr>
          <w:sz w:val="20"/>
          <w:szCs w:val="20"/>
        </w:rPr>
        <w:t xml:space="preserve"> </w:t>
      </w:r>
      <w:proofErr w:type="spellStart"/>
      <w:r w:rsidR="00EC1EA2" w:rsidRPr="00EC1EA2">
        <w:rPr>
          <w:sz w:val="20"/>
          <w:szCs w:val="20"/>
        </w:rPr>
        <w:t>dataset</w:t>
      </w:r>
      <w:proofErr w:type="spellEnd"/>
      <w:r w:rsidR="00EC1EA2" w:rsidRPr="00EC1EA2">
        <w:rPr>
          <w:sz w:val="20"/>
          <w:szCs w:val="20"/>
        </w:rPr>
        <w:t xml:space="preserve"> CRU TS (</w:t>
      </w:r>
      <w:proofErr w:type="spellStart"/>
      <w:r w:rsidR="00EC1EA2" w:rsidRPr="00EC1EA2">
        <w:rPr>
          <w:sz w:val="20"/>
          <w:szCs w:val="20"/>
        </w:rPr>
        <w:t>Climatic</w:t>
      </w:r>
      <w:proofErr w:type="spellEnd"/>
      <w:r w:rsidR="00EC1EA2" w:rsidRPr="00EC1EA2">
        <w:rPr>
          <w:sz w:val="20"/>
          <w:szCs w:val="20"/>
        </w:rPr>
        <w:t xml:space="preserve"> </w:t>
      </w:r>
      <w:proofErr w:type="spellStart"/>
      <w:r w:rsidR="00EC1EA2" w:rsidRPr="00EC1EA2">
        <w:rPr>
          <w:sz w:val="20"/>
          <w:szCs w:val="20"/>
        </w:rPr>
        <w:t>Research</w:t>
      </w:r>
      <w:proofErr w:type="spellEnd"/>
      <w:r w:rsidR="00EC1EA2" w:rsidRPr="00EC1EA2">
        <w:rPr>
          <w:sz w:val="20"/>
          <w:szCs w:val="20"/>
        </w:rPr>
        <w:t xml:space="preserve"> </w:t>
      </w:r>
      <w:proofErr w:type="spellStart"/>
      <w:r w:rsidR="00EC1EA2" w:rsidRPr="00EC1EA2">
        <w:rPr>
          <w:sz w:val="20"/>
          <w:szCs w:val="20"/>
        </w:rPr>
        <w:t>Unit</w:t>
      </w:r>
      <w:proofErr w:type="spellEnd"/>
      <w:r w:rsidR="00EC1EA2" w:rsidRPr="00EC1EA2">
        <w:rPr>
          <w:sz w:val="20"/>
          <w:szCs w:val="20"/>
        </w:rPr>
        <w:t xml:space="preserve"> Time-Series)</w:t>
      </w:r>
      <w:r w:rsidR="00B45E6A">
        <w:rPr>
          <w:sz w:val="20"/>
          <w:szCs w:val="20"/>
        </w:rPr>
        <w:t>.</w:t>
      </w:r>
      <w:r w:rsidR="00EC1EA2" w:rsidRPr="00EC1EA2">
        <w:rPr>
          <w:sz w:val="20"/>
          <w:szCs w:val="20"/>
        </w:rPr>
        <w:t xml:space="preserve"> El valor de temperatura </w:t>
      </w:r>
      <w:r w:rsidR="00503309">
        <w:rPr>
          <w:sz w:val="20"/>
          <w:szCs w:val="20"/>
        </w:rPr>
        <w:t xml:space="preserve">promedio </w:t>
      </w:r>
      <w:r w:rsidR="00EC1EA2" w:rsidRPr="00EC1EA2">
        <w:rPr>
          <w:sz w:val="20"/>
          <w:szCs w:val="20"/>
        </w:rPr>
        <w:t>es para la zona entre -72 y -69 longitud y -36 y -32 latitud</w:t>
      </w:r>
      <w:r w:rsidR="00B45E6A">
        <w:rPr>
          <w:sz w:val="20"/>
          <w:szCs w:val="20"/>
        </w:rPr>
        <w:t xml:space="preserve"> (Chile central)</w:t>
      </w:r>
      <w:r w:rsidR="00503309">
        <w:rPr>
          <w:sz w:val="20"/>
          <w:szCs w:val="20"/>
        </w:rPr>
        <w:t xml:space="preserve">. El dato de temperatura máximo es el de la estación de quinta normal, Santiago. </w:t>
      </w:r>
    </w:p>
    <w:tbl>
      <w:tblPr>
        <w:tblW w:w="98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1984"/>
        <w:gridCol w:w="2090"/>
        <w:gridCol w:w="216"/>
      </w:tblGrid>
      <w:tr w:rsidR="005336F4" w:rsidRPr="009F7BC8" w14:paraId="3A4D9990" w14:textId="77777777" w:rsidTr="00503309">
        <w:trPr>
          <w:gridAfter w:val="1"/>
          <w:wAfter w:w="216" w:type="dxa"/>
          <w:trHeight w:val="45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81E7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  <w:t>TEMPORADA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5A51A" w14:textId="73BC5482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</w:pPr>
            <w:r w:rsidRPr="009F7BC8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  <w:t>NÚMERO DE</w:t>
            </w:r>
            <w:r w:rsidRPr="005336F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  <w:t xml:space="preserve"> INCENDIOS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BC99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  <w:t>SUPERFICIE AFECTADA (ha)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82467B" w14:textId="596D7A67" w:rsidR="005336F4" w:rsidRPr="005336F4" w:rsidRDefault="005336F4" w:rsidP="00533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  <w:t xml:space="preserve"> </w:t>
            </w:r>
            <w:r w:rsidRPr="009F7BC8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  <w:t>MÁXIMA TEMPORADA</w:t>
            </w:r>
            <w:r w:rsidRPr="005336F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  <w:t xml:space="preserve"> (PROMEDIO)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D6AA3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s-CL"/>
                <w14:ligatures w14:val="none"/>
              </w:rPr>
              <w:t xml:space="preserve"> PROMEDIO TEMPORADA (MÁXIMA)</w:t>
            </w:r>
          </w:p>
        </w:tc>
      </w:tr>
      <w:tr w:rsidR="009F7BC8" w:rsidRPr="005336F4" w14:paraId="362767DB" w14:textId="77777777" w:rsidTr="00503309">
        <w:trPr>
          <w:trHeight w:val="24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F404" w14:textId="77777777" w:rsidR="005336F4" w:rsidRPr="005336F4" w:rsidRDefault="005336F4" w:rsidP="005336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1AF7" w14:textId="77777777" w:rsidR="005336F4" w:rsidRPr="005336F4" w:rsidRDefault="005336F4" w:rsidP="005336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4394" w14:textId="77777777" w:rsidR="005336F4" w:rsidRPr="005336F4" w:rsidRDefault="005336F4" w:rsidP="005336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7A67" w14:textId="77777777" w:rsidR="005336F4" w:rsidRPr="005336F4" w:rsidRDefault="005336F4" w:rsidP="00533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A200" w14:textId="77777777" w:rsidR="005336F4" w:rsidRPr="005336F4" w:rsidRDefault="005336F4" w:rsidP="00533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B90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07F736B1" w14:textId="77777777" w:rsidTr="00503309">
        <w:trPr>
          <w:trHeight w:val="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0624" w14:textId="77777777" w:rsidR="005336F4" w:rsidRPr="005336F4" w:rsidRDefault="005336F4" w:rsidP="005336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54CB" w14:textId="77777777" w:rsidR="005336F4" w:rsidRPr="005336F4" w:rsidRDefault="005336F4" w:rsidP="005336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AEB1" w14:textId="77777777" w:rsidR="005336F4" w:rsidRPr="005336F4" w:rsidRDefault="005336F4" w:rsidP="005336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5F98" w14:textId="77777777" w:rsidR="005336F4" w:rsidRPr="005336F4" w:rsidRDefault="005336F4" w:rsidP="00533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12E6" w14:textId="77777777" w:rsidR="005336F4" w:rsidRPr="005336F4" w:rsidRDefault="005336F4" w:rsidP="005336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E2BC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320EEF22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97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1984 - 1985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2071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815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47.572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DA5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32,1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1440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SD</w:t>
            </w:r>
          </w:p>
        </w:tc>
        <w:tc>
          <w:tcPr>
            <w:tcW w:w="216" w:type="dxa"/>
            <w:vAlign w:val="center"/>
            <w:hideMark/>
          </w:tcPr>
          <w:p w14:paraId="0AA68A29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7442E3FB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B39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1985 - 1986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38D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5.421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590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67.414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D4E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0C74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SD</w:t>
            </w:r>
          </w:p>
        </w:tc>
        <w:tc>
          <w:tcPr>
            <w:tcW w:w="216" w:type="dxa"/>
            <w:vAlign w:val="center"/>
            <w:hideMark/>
          </w:tcPr>
          <w:p w14:paraId="225A10CA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4D91119E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02C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1986 - 1987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6A0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714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97.055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9E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14C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SD</w:t>
            </w:r>
          </w:p>
        </w:tc>
        <w:tc>
          <w:tcPr>
            <w:tcW w:w="216" w:type="dxa"/>
            <w:vAlign w:val="center"/>
            <w:hideMark/>
          </w:tcPr>
          <w:p w14:paraId="7F2F1DA4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30C31CBB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A9B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1987 - 1988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EBF1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311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85.837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8C6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37D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SD</w:t>
            </w:r>
          </w:p>
        </w:tc>
        <w:tc>
          <w:tcPr>
            <w:tcW w:w="216" w:type="dxa"/>
            <w:vAlign w:val="center"/>
            <w:hideMark/>
          </w:tcPr>
          <w:p w14:paraId="68020693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4DF08F8A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7E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1988 - 1989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BEE0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C4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88.062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20B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A4A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SD</w:t>
            </w:r>
          </w:p>
        </w:tc>
        <w:tc>
          <w:tcPr>
            <w:tcW w:w="216" w:type="dxa"/>
            <w:vAlign w:val="center"/>
            <w:hideMark/>
          </w:tcPr>
          <w:p w14:paraId="4911E0F9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583AE2A9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8E3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1989 - 1990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32E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4.116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3D4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25.545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AEB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FD88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SD</w:t>
            </w:r>
          </w:p>
        </w:tc>
        <w:tc>
          <w:tcPr>
            <w:tcW w:w="216" w:type="dxa"/>
            <w:vAlign w:val="center"/>
            <w:hideMark/>
          </w:tcPr>
          <w:p w14:paraId="2663A843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7DE10171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62C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1990 - 1991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6AE1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EB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50.273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CA6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27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14,4</w:t>
            </w:r>
          </w:p>
        </w:tc>
        <w:tc>
          <w:tcPr>
            <w:tcW w:w="216" w:type="dxa"/>
            <w:vAlign w:val="center"/>
            <w:hideMark/>
          </w:tcPr>
          <w:p w14:paraId="7614251F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702E285F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594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1991 - 1992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54D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4.788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41C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24.224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6E0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92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14,7</w:t>
            </w:r>
          </w:p>
        </w:tc>
        <w:tc>
          <w:tcPr>
            <w:tcW w:w="216" w:type="dxa"/>
            <w:vAlign w:val="center"/>
            <w:hideMark/>
          </w:tcPr>
          <w:p w14:paraId="6FDF9A44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1CF5D523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C68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1992 - 1993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6F1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E8C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49.981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FA1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32,9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C9E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15,2</w:t>
            </w:r>
          </w:p>
        </w:tc>
        <w:tc>
          <w:tcPr>
            <w:tcW w:w="216" w:type="dxa"/>
            <w:vAlign w:val="center"/>
            <w:hideMark/>
          </w:tcPr>
          <w:p w14:paraId="1B516754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03373068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6E7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1993 - 1994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A16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9B8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65.606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D5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2B0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15,6</w:t>
            </w:r>
          </w:p>
        </w:tc>
        <w:tc>
          <w:tcPr>
            <w:tcW w:w="216" w:type="dxa"/>
            <w:vAlign w:val="center"/>
            <w:hideMark/>
          </w:tcPr>
          <w:p w14:paraId="549C1750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2E06522D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BF2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1994 - 1995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006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5.356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800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26.174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A23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32,8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E2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15,9</w:t>
            </w:r>
          </w:p>
        </w:tc>
        <w:tc>
          <w:tcPr>
            <w:tcW w:w="216" w:type="dxa"/>
            <w:vAlign w:val="center"/>
            <w:hideMark/>
          </w:tcPr>
          <w:p w14:paraId="2CAAC2F7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2412C7EC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70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1995 - 1996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5061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5.886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72D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40.081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F85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32,9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6DE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14,4</w:t>
            </w:r>
          </w:p>
        </w:tc>
        <w:tc>
          <w:tcPr>
            <w:tcW w:w="216" w:type="dxa"/>
            <w:vAlign w:val="center"/>
            <w:hideMark/>
          </w:tcPr>
          <w:p w14:paraId="0A9C2A63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3323AC07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65C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1996 - 1997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44B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5.493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C36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43.592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25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34,0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D3C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15,5</w:t>
            </w:r>
          </w:p>
        </w:tc>
        <w:tc>
          <w:tcPr>
            <w:tcW w:w="216" w:type="dxa"/>
            <w:vAlign w:val="center"/>
            <w:hideMark/>
          </w:tcPr>
          <w:p w14:paraId="22730F6E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41745E1F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63C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1997 - 1998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B8D1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5.332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01D0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90.887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8B3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749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15,0</w:t>
            </w:r>
          </w:p>
        </w:tc>
        <w:tc>
          <w:tcPr>
            <w:tcW w:w="216" w:type="dxa"/>
            <w:vAlign w:val="center"/>
            <w:hideMark/>
          </w:tcPr>
          <w:p w14:paraId="50254928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7D0188D5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95E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1998 - 1999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225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6.831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87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101.691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2C1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86C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15,4</w:t>
            </w:r>
          </w:p>
        </w:tc>
        <w:tc>
          <w:tcPr>
            <w:tcW w:w="216" w:type="dxa"/>
            <w:vAlign w:val="center"/>
            <w:hideMark/>
          </w:tcPr>
          <w:p w14:paraId="7DC4ABD8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6D15452D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DE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1999 - 2000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6B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5.252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E0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17.183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FF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31,9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E80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16,2</w:t>
            </w:r>
          </w:p>
        </w:tc>
        <w:tc>
          <w:tcPr>
            <w:tcW w:w="216" w:type="dxa"/>
            <w:vAlign w:val="center"/>
            <w:hideMark/>
          </w:tcPr>
          <w:p w14:paraId="1B24C7E4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0B45D9E8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B6E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2000 - 2001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709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5.376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54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10.921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326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32,9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3E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14,6</w:t>
            </w:r>
          </w:p>
        </w:tc>
        <w:tc>
          <w:tcPr>
            <w:tcW w:w="216" w:type="dxa"/>
            <w:vAlign w:val="center"/>
            <w:hideMark/>
          </w:tcPr>
          <w:p w14:paraId="096538EF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7A7C74CA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574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2001 - 2002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DF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28D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90.069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4FD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CA7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15,8</w:t>
            </w:r>
          </w:p>
        </w:tc>
        <w:tc>
          <w:tcPr>
            <w:tcW w:w="216" w:type="dxa"/>
            <w:vAlign w:val="center"/>
            <w:hideMark/>
          </w:tcPr>
          <w:p w14:paraId="283B0004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6AD8703D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35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2002 - 2003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B7B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7.572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17D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41.988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33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FB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16,1</w:t>
            </w:r>
          </w:p>
        </w:tc>
        <w:tc>
          <w:tcPr>
            <w:tcW w:w="216" w:type="dxa"/>
            <w:vAlign w:val="center"/>
            <w:hideMark/>
          </w:tcPr>
          <w:p w14:paraId="710BC02D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168CF0F9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19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2003 - 2004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18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E580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50.687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1560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CE5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15,7</w:t>
            </w:r>
          </w:p>
        </w:tc>
        <w:tc>
          <w:tcPr>
            <w:tcW w:w="216" w:type="dxa"/>
            <w:vAlign w:val="center"/>
            <w:hideMark/>
          </w:tcPr>
          <w:p w14:paraId="2BBD41AA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768D8192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4E9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2004 - 2005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7B7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6.653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079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65.300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7F7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5D2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15,0</w:t>
            </w:r>
          </w:p>
        </w:tc>
        <w:tc>
          <w:tcPr>
            <w:tcW w:w="216" w:type="dxa"/>
            <w:vAlign w:val="center"/>
            <w:hideMark/>
          </w:tcPr>
          <w:p w14:paraId="35F797F6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4A31F1F9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A9A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2005 - 2006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5C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5.397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19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19.349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3B3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F69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15,3</w:t>
            </w:r>
          </w:p>
        </w:tc>
        <w:tc>
          <w:tcPr>
            <w:tcW w:w="216" w:type="dxa"/>
            <w:vAlign w:val="center"/>
            <w:hideMark/>
          </w:tcPr>
          <w:p w14:paraId="18889111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3BE915A5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B2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2006 - 2007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053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14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43.404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6F3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34,0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3DF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15,1</w:t>
            </w:r>
          </w:p>
        </w:tc>
        <w:tc>
          <w:tcPr>
            <w:tcW w:w="216" w:type="dxa"/>
            <w:vAlign w:val="center"/>
            <w:hideMark/>
          </w:tcPr>
          <w:p w14:paraId="247F1F86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3DB2D84A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3D1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2007 - 2008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BFF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6.976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8FD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42.063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9E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A9D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16,0</w:t>
            </w:r>
          </w:p>
        </w:tc>
        <w:tc>
          <w:tcPr>
            <w:tcW w:w="216" w:type="dxa"/>
            <w:vAlign w:val="center"/>
            <w:hideMark/>
          </w:tcPr>
          <w:p w14:paraId="5D1304FA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4BD57032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7730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2008 - 2009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19E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300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64.875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465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9AF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15,0</w:t>
            </w:r>
          </w:p>
        </w:tc>
        <w:tc>
          <w:tcPr>
            <w:tcW w:w="216" w:type="dxa"/>
            <w:vAlign w:val="center"/>
            <w:hideMark/>
          </w:tcPr>
          <w:p w14:paraId="411B3538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6EF404A3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199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2009 - 2010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61A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4.069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6F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58.364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CB4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F23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16,5</w:t>
            </w:r>
          </w:p>
        </w:tc>
        <w:tc>
          <w:tcPr>
            <w:tcW w:w="216" w:type="dxa"/>
            <w:vAlign w:val="center"/>
            <w:hideMark/>
          </w:tcPr>
          <w:p w14:paraId="6A3784F1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079F3E9B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E16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2010 - 2011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979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4.952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68C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47.040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A49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B441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15,9</w:t>
            </w:r>
          </w:p>
        </w:tc>
        <w:tc>
          <w:tcPr>
            <w:tcW w:w="216" w:type="dxa"/>
            <w:vAlign w:val="center"/>
            <w:hideMark/>
          </w:tcPr>
          <w:p w14:paraId="38CC106F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53F14E05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7057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2011 - 2012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7DA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5.509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D3B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90.279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343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34,3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7A1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16,5</w:t>
            </w:r>
          </w:p>
        </w:tc>
        <w:tc>
          <w:tcPr>
            <w:tcW w:w="216" w:type="dxa"/>
            <w:vAlign w:val="center"/>
            <w:hideMark/>
          </w:tcPr>
          <w:p w14:paraId="1ADAB8D4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748D5F47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E7B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2012 - 2013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1F6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5.651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E75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17.109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F46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34,0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61B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16,1</w:t>
            </w:r>
          </w:p>
        </w:tc>
        <w:tc>
          <w:tcPr>
            <w:tcW w:w="216" w:type="dxa"/>
            <w:vAlign w:val="center"/>
            <w:hideMark/>
          </w:tcPr>
          <w:p w14:paraId="4B937F74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7E047DDE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145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2013 - 2014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16A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6.335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2F2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105.992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7B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34,3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4D4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15,9</w:t>
            </w:r>
          </w:p>
        </w:tc>
        <w:tc>
          <w:tcPr>
            <w:tcW w:w="216" w:type="dxa"/>
            <w:vAlign w:val="center"/>
            <w:hideMark/>
          </w:tcPr>
          <w:p w14:paraId="44153E51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0F34D169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A2B1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2014 -2015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094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8.048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1D12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128.654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166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35,0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3A1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17,1</w:t>
            </w:r>
          </w:p>
        </w:tc>
        <w:tc>
          <w:tcPr>
            <w:tcW w:w="216" w:type="dxa"/>
            <w:vAlign w:val="center"/>
            <w:hideMark/>
          </w:tcPr>
          <w:p w14:paraId="76AABD80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5994F04E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0F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2015 - 2016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E4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6.784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2B1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42.097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399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34,6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8DC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15,6</w:t>
            </w:r>
          </w:p>
        </w:tc>
        <w:tc>
          <w:tcPr>
            <w:tcW w:w="216" w:type="dxa"/>
            <w:vAlign w:val="center"/>
            <w:hideMark/>
          </w:tcPr>
          <w:p w14:paraId="03F7EEE8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087A8E01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B8C0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2016 - 2017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847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5.274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E174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570.197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12C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35,9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C3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15,3</w:t>
            </w:r>
          </w:p>
        </w:tc>
        <w:tc>
          <w:tcPr>
            <w:tcW w:w="216" w:type="dxa"/>
            <w:vAlign w:val="center"/>
            <w:hideMark/>
          </w:tcPr>
          <w:p w14:paraId="3FA71918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482F2501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7F7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2017 - 2018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21B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6.081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8AD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39.554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DD5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34,1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B21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16,4</w:t>
            </w:r>
          </w:p>
        </w:tc>
        <w:tc>
          <w:tcPr>
            <w:tcW w:w="216" w:type="dxa"/>
            <w:vAlign w:val="center"/>
            <w:hideMark/>
          </w:tcPr>
          <w:p w14:paraId="24BED647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1879987F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6E9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2018 - 2019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0E1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7.219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588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80.064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AA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34,9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F3F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13,7</w:t>
            </w:r>
          </w:p>
        </w:tc>
        <w:tc>
          <w:tcPr>
            <w:tcW w:w="216" w:type="dxa"/>
            <w:vAlign w:val="center"/>
            <w:hideMark/>
          </w:tcPr>
          <w:p w14:paraId="561FAE96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0FAB6BD9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F81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2019 - 2020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17F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8.127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8D9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102.292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71D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35,2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D70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16,0</w:t>
            </w:r>
          </w:p>
        </w:tc>
        <w:tc>
          <w:tcPr>
            <w:tcW w:w="216" w:type="dxa"/>
            <w:vAlign w:val="center"/>
            <w:hideMark/>
          </w:tcPr>
          <w:p w14:paraId="489177BD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497D5885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23AC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2020 - 2021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4E08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7.101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CD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35.623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199A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F1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16,1</w:t>
            </w:r>
          </w:p>
        </w:tc>
        <w:tc>
          <w:tcPr>
            <w:tcW w:w="216" w:type="dxa"/>
            <w:vAlign w:val="center"/>
            <w:hideMark/>
          </w:tcPr>
          <w:p w14:paraId="1FDBACB5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78C2A4B5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CC11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2021 - 2022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BA4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6.947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B8E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125.335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0C9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33,9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B0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16,7</w:t>
            </w:r>
          </w:p>
        </w:tc>
        <w:tc>
          <w:tcPr>
            <w:tcW w:w="216" w:type="dxa"/>
            <w:vAlign w:val="center"/>
            <w:hideMark/>
          </w:tcPr>
          <w:p w14:paraId="7523C828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2B1AE4D0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AF7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2022 - 2023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1783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6.982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C7A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429.103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C51D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35,0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A2C9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SD</w:t>
            </w:r>
          </w:p>
        </w:tc>
        <w:tc>
          <w:tcPr>
            <w:tcW w:w="216" w:type="dxa"/>
            <w:vAlign w:val="center"/>
            <w:hideMark/>
          </w:tcPr>
          <w:p w14:paraId="196AA3CE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9F7BC8" w:rsidRPr="005336F4" w14:paraId="3E2DC00B" w14:textId="77777777" w:rsidTr="00503309">
        <w:trPr>
          <w:trHeight w:val="2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C446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2023 - 2024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7A8F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5.958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A495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73.835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96E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34,9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EBB" w14:textId="77777777" w:rsidR="005336F4" w:rsidRPr="005336F4" w:rsidRDefault="005336F4" w:rsidP="005336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336F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SD</w:t>
            </w:r>
          </w:p>
        </w:tc>
        <w:tc>
          <w:tcPr>
            <w:tcW w:w="216" w:type="dxa"/>
            <w:vAlign w:val="center"/>
            <w:hideMark/>
          </w:tcPr>
          <w:p w14:paraId="6E5140BF" w14:textId="77777777" w:rsidR="005336F4" w:rsidRPr="005336F4" w:rsidRDefault="005336F4" w:rsidP="00533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</w:tbl>
    <w:p w14:paraId="0EDDBFE5" w14:textId="77777777" w:rsidR="005336F4" w:rsidRDefault="005336F4"/>
    <w:p w14:paraId="03FDF2A5" w14:textId="3B2D400E" w:rsidR="0085030F" w:rsidRPr="00B53560" w:rsidRDefault="0085030F">
      <w:pPr>
        <w:rPr>
          <w:b/>
          <w:bCs/>
          <w:sz w:val="24"/>
          <w:szCs w:val="24"/>
        </w:rPr>
      </w:pPr>
      <w:r w:rsidRPr="00B53560">
        <w:rPr>
          <w:b/>
          <w:bCs/>
          <w:sz w:val="24"/>
          <w:szCs w:val="24"/>
        </w:rPr>
        <w:lastRenderedPageBreak/>
        <w:t>Referencias</w:t>
      </w:r>
    </w:p>
    <w:p w14:paraId="3D84BD5F" w14:textId="1EC44AD6" w:rsidR="0085030F" w:rsidRPr="009F7BC8" w:rsidRDefault="0085030F" w:rsidP="00B53560">
      <w:pPr>
        <w:jc w:val="both"/>
        <w:rPr>
          <w:sz w:val="20"/>
          <w:szCs w:val="20"/>
        </w:rPr>
      </w:pPr>
      <w:r w:rsidRPr="0085030F">
        <w:rPr>
          <w:sz w:val="20"/>
          <w:szCs w:val="20"/>
        </w:rPr>
        <w:t xml:space="preserve">González, M.E., </w:t>
      </w:r>
      <w:proofErr w:type="spellStart"/>
      <w:r w:rsidRPr="0085030F">
        <w:rPr>
          <w:sz w:val="20"/>
          <w:szCs w:val="20"/>
        </w:rPr>
        <w:t>Sapiains</w:t>
      </w:r>
      <w:proofErr w:type="spellEnd"/>
      <w:r w:rsidRPr="0085030F">
        <w:rPr>
          <w:sz w:val="20"/>
          <w:szCs w:val="20"/>
        </w:rPr>
        <w:t xml:space="preserve">, R., Gómez-González, S., </w:t>
      </w:r>
      <w:proofErr w:type="spellStart"/>
      <w:r w:rsidRPr="0085030F">
        <w:rPr>
          <w:sz w:val="20"/>
          <w:szCs w:val="20"/>
        </w:rPr>
        <w:t>Garreaud</w:t>
      </w:r>
      <w:proofErr w:type="spellEnd"/>
      <w:r w:rsidRPr="0085030F">
        <w:rPr>
          <w:sz w:val="20"/>
          <w:szCs w:val="20"/>
        </w:rPr>
        <w:t xml:space="preserve">, R., Miranda, A., Galleguillos, </w:t>
      </w:r>
      <w:r w:rsidR="005740F1">
        <w:rPr>
          <w:sz w:val="20"/>
          <w:szCs w:val="20"/>
        </w:rPr>
        <w:t>et al.</w:t>
      </w:r>
      <w:r w:rsidRPr="0085030F">
        <w:rPr>
          <w:sz w:val="20"/>
          <w:szCs w:val="20"/>
        </w:rPr>
        <w:t>, M., Castillo, I</w:t>
      </w:r>
      <w:r w:rsidR="00B53560" w:rsidRPr="009F7BC8">
        <w:rPr>
          <w:sz w:val="20"/>
          <w:szCs w:val="20"/>
        </w:rPr>
        <w:t>. (</w:t>
      </w:r>
      <w:r w:rsidRPr="0085030F">
        <w:rPr>
          <w:sz w:val="20"/>
          <w:szCs w:val="20"/>
        </w:rPr>
        <w:t>2020</w:t>
      </w:r>
      <w:r w:rsidR="00B53560" w:rsidRPr="009F7BC8">
        <w:rPr>
          <w:sz w:val="20"/>
          <w:szCs w:val="20"/>
        </w:rPr>
        <w:t>)</w:t>
      </w:r>
      <w:r w:rsidRPr="0085030F">
        <w:rPr>
          <w:sz w:val="20"/>
          <w:szCs w:val="20"/>
        </w:rPr>
        <w:t>. Incendios forestales</w:t>
      </w:r>
      <w:r w:rsidRPr="009F7BC8">
        <w:rPr>
          <w:sz w:val="20"/>
          <w:szCs w:val="20"/>
        </w:rPr>
        <w:t xml:space="preserve"> </w:t>
      </w:r>
      <w:r w:rsidRPr="0085030F">
        <w:rPr>
          <w:sz w:val="20"/>
          <w:szCs w:val="20"/>
        </w:rPr>
        <w:t>en Chile: causas, impactos y resiliencia. Centro de Ciencia del Clima y la Resiliencia (CR)2, Universidad de Chile,</w:t>
      </w:r>
      <w:r w:rsidRPr="009F7BC8">
        <w:rPr>
          <w:sz w:val="20"/>
          <w:szCs w:val="20"/>
        </w:rPr>
        <w:t xml:space="preserve"> Universidad de Concepción y Universidad Austral de Chile.</w:t>
      </w:r>
    </w:p>
    <w:p w14:paraId="1E012C78" w14:textId="72E27F45" w:rsidR="009F7BC8" w:rsidRDefault="00404D0E" w:rsidP="00B53560">
      <w:pPr>
        <w:jc w:val="both"/>
        <w:rPr>
          <w:sz w:val="20"/>
          <w:szCs w:val="20"/>
          <w:lang w:val="en-US"/>
        </w:rPr>
      </w:pPr>
      <w:r w:rsidRPr="00404D0E">
        <w:rPr>
          <w:sz w:val="20"/>
          <w:szCs w:val="20"/>
          <w:lang w:val="en-US"/>
        </w:rPr>
        <w:t>Harvey, J</w:t>
      </w:r>
      <w:r>
        <w:rPr>
          <w:sz w:val="20"/>
          <w:szCs w:val="20"/>
          <w:lang w:val="en-US"/>
        </w:rPr>
        <w:t>.</w:t>
      </w:r>
      <w:r w:rsidRPr="00404D0E">
        <w:rPr>
          <w:sz w:val="20"/>
          <w:szCs w:val="20"/>
          <w:lang w:val="en-US"/>
        </w:rPr>
        <w:t xml:space="preserve"> A., K</w:t>
      </w:r>
      <w:r>
        <w:rPr>
          <w:sz w:val="20"/>
          <w:szCs w:val="20"/>
          <w:lang w:val="en-US"/>
        </w:rPr>
        <w:t>.,</w:t>
      </w:r>
      <w:r w:rsidRPr="00404D0E">
        <w:rPr>
          <w:sz w:val="20"/>
          <w:szCs w:val="20"/>
          <w:lang w:val="en-US"/>
        </w:rPr>
        <w:t xml:space="preserve"> </w:t>
      </w:r>
      <w:proofErr w:type="spellStart"/>
      <w:r w:rsidRPr="00404D0E">
        <w:rPr>
          <w:sz w:val="20"/>
          <w:szCs w:val="20"/>
          <w:lang w:val="en-US"/>
        </w:rPr>
        <w:t>Tougeron</w:t>
      </w:r>
      <w:proofErr w:type="spellEnd"/>
      <w:r w:rsidRPr="00404D0E">
        <w:rPr>
          <w:sz w:val="20"/>
          <w:szCs w:val="20"/>
          <w:lang w:val="en-US"/>
        </w:rPr>
        <w:t>, R</w:t>
      </w:r>
      <w:r>
        <w:rPr>
          <w:sz w:val="20"/>
          <w:szCs w:val="20"/>
          <w:lang w:val="en-US"/>
        </w:rPr>
        <w:t>.,</w:t>
      </w:r>
      <w:r w:rsidRPr="00404D0E">
        <w:rPr>
          <w:sz w:val="20"/>
          <w:szCs w:val="20"/>
          <w:lang w:val="en-US"/>
        </w:rPr>
        <w:t xml:space="preserve"> </w:t>
      </w:r>
      <w:proofErr w:type="spellStart"/>
      <w:r w:rsidRPr="00404D0E">
        <w:rPr>
          <w:sz w:val="20"/>
          <w:szCs w:val="20"/>
          <w:lang w:val="en-US"/>
        </w:rPr>
        <w:t>Gols</w:t>
      </w:r>
      <w:proofErr w:type="spellEnd"/>
      <w:r w:rsidRPr="00404D0E">
        <w:rPr>
          <w:sz w:val="20"/>
          <w:szCs w:val="20"/>
          <w:lang w:val="en-US"/>
        </w:rPr>
        <w:t>, R</w:t>
      </w:r>
      <w:r>
        <w:rPr>
          <w:sz w:val="20"/>
          <w:szCs w:val="20"/>
          <w:lang w:val="en-US"/>
        </w:rPr>
        <w:t>.,</w:t>
      </w:r>
      <w:r w:rsidRPr="00404D0E">
        <w:rPr>
          <w:sz w:val="20"/>
          <w:szCs w:val="20"/>
          <w:lang w:val="en-US"/>
        </w:rPr>
        <w:t xml:space="preserve"> Heinen, M</w:t>
      </w:r>
      <w:r>
        <w:rPr>
          <w:sz w:val="20"/>
          <w:szCs w:val="20"/>
          <w:lang w:val="en-US"/>
        </w:rPr>
        <w:t>.</w:t>
      </w:r>
      <w:r w:rsidRPr="00404D0E">
        <w:rPr>
          <w:sz w:val="20"/>
          <w:szCs w:val="20"/>
          <w:lang w:val="en-US"/>
        </w:rPr>
        <w:t xml:space="preserve"> </w:t>
      </w:r>
      <w:proofErr w:type="spellStart"/>
      <w:r w:rsidRPr="00404D0E">
        <w:rPr>
          <w:sz w:val="20"/>
          <w:szCs w:val="20"/>
          <w:lang w:val="en-US"/>
        </w:rPr>
        <w:t>Abarca</w:t>
      </w:r>
      <w:proofErr w:type="spellEnd"/>
      <w:r w:rsidRPr="00404D0E">
        <w:rPr>
          <w:sz w:val="20"/>
          <w:szCs w:val="20"/>
          <w:lang w:val="en-US"/>
        </w:rPr>
        <w:t>, P</w:t>
      </w:r>
      <w:r>
        <w:rPr>
          <w:sz w:val="20"/>
          <w:szCs w:val="20"/>
          <w:lang w:val="en-US"/>
        </w:rPr>
        <w:t>.</w:t>
      </w:r>
      <w:r w:rsidRPr="00404D0E">
        <w:rPr>
          <w:sz w:val="20"/>
          <w:szCs w:val="20"/>
          <w:lang w:val="en-US"/>
        </w:rPr>
        <w:t xml:space="preserve"> K. Abram, Y</w:t>
      </w:r>
      <w:r>
        <w:rPr>
          <w:sz w:val="20"/>
          <w:szCs w:val="20"/>
          <w:lang w:val="en-US"/>
        </w:rPr>
        <w:t>.</w:t>
      </w:r>
      <w:r w:rsidRPr="00404D0E">
        <w:rPr>
          <w:sz w:val="20"/>
          <w:szCs w:val="20"/>
          <w:lang w:val="en-US"/>
        </w:rPr>
        <w:t xml:space="preserve"> Basset, et al. </w:t>
      </w:r>
      <w:r>
        <w:rPr>
          <w:sz w:val="20"/>
          <w:szCs w:val="20"/>
          <w:lang w:val="en-US"/>
        </w:rPr>
        <w:t>(</w:t>
      </w:r>
      <w:r w:rsidRPr="00404D0E">
        <w:rPr>
          <w:sz w:val="20"/>
          <w:szCs w:val="20"/>
          <w:lang w:val="en-US"/>
        </w:rPr>
        <w:t>2023</w:t>
      </w:r>
      <w:r>
        <w:rPr>
          <w:sz w:val="20"/>
          <w:szCs w:val="20"/>
          <w:lang w:val="en-US"/>
        </w:rPr>
        <w:t>)</w:t>
      </w:r>
      <w:r w:rsidRPr="00404D0E">
        <w:rPr>
          <w:sz w:val="20"/>
          <w:szCs w:val="20"/>
          <w:lang w:val="en-US"/>
        </w:rPr>
        <w:t>. Scientists' Warning on Climate Change and Insects. </w:t>
      </w:r>
      <w:r w:rsidRPr="00404D0E">
        <w:rPr>
          <w:i/>
          <w:iCs/>
          <w:sz w:val="20"/>
          <w:szCs w:val="20"/>
          <w:lang w:val="en-US"/>
        </w:rPr>
        <w:t>Ecological Monographs</w:t>
      </w:r>
      <w:r w:rsidRPr="00404D0E">
        <w:rPr>
          <w:sz w:val="20"/>
          <w:szCs w:val="20"/>
          <w:lang w:val="en-US"/>
        </w:rPr>
        <w:t> 93(1): e1553. </w:t>
      </w:r>
      <w:hyperlink r:id="rId10" w:history="1">
        <w:r w:rsidRPr="005740F1">
          <w:rPr>
            <w:rStyle w:val="Hipervnculo"/>
            <w:sz w:val="20"/>
            <w:szCs w:val="20"/>
            <w:lang w:val="en-US"/>
          </w:rPr>
          <w:t>https://doi.org/10.1002/ecm.1553</w:t>
        </w:r>
      </w:hyperlink>
    </w:p>
    <w:p w14:paraId="47623780" w14:textId="6D6D066E" w:rsidR="009F7BC8" w:rsidRPr="004812AB" w:rsidRDefault="004812AB" w:rsidP="004812AB">
      <w:pPr>
        <w:jc w:val="both"/>
        <w:rPr>
          <w:sz w:val="20"/>
          <w:szCs w:val="20"/>
          <w:lang w:val="en-US"/>
        </w:rPr>
      </w:pPr>
      <w:r w:rsidRPr="004812AB">
        <w:rPr>
          <w:sz w:val="20"/>
          <w:szCs w:val="20"/>
          <w:lang w:val="en-US"/>
        </w:rPr>
        <w:t xml:space="preserve">Ripple, W.J., C., Wolf, J., W Gregg, J., </w:t>
      </w:r>
      <w:proofErr w:type="spellStart"/>
      <w:r w:rsidRPr="004812AB">
        <w:rPr>
          <w:sz w:val="20"/>
          <w:szCs w:val="20"/>
          <w:lang w:val="en-US"/>
        </w:rPr>
        <w:t>Rockström</w:t>
      </w:r>
      <w:proofErr w:type="spellEnd"/>
      <w:r w:rsidRPr="004812AB">
        <w:rPr>
          <w:sz w:val="20"/>
          <w:szCs w:val="20"/>
          <w:lang w:val="en-US"/>
        </w:rPr>
        <w:t>, M. E.</w:t>
      </w:r>
      <w:r>
        <w:rPr>
          <w:sz w:val="20"/>
          <w:szCs w:val="20"/>
          <w:lang w:val="en-US"/>
        </w:rPr>
        <w:t>,</w:t>
      </w:r>
      <w:r w:rsidRPr="004812AB">
        <w:rPr>
          <w:sz w:val="20"/>
          <w:szCs w:val="20"/>
          <w:lang w:val="en-US"/>
        </w:rPr>
        <w:t xml:space="preserve"> Mann, N</w:t>
      </w:r>
      <w:r>
        <w:rPr>
          <w:sz w:val="20"/>
          <w:szCs w:val="20"/>
          <w:lang w:val="en-US"/>
        </w:rPr>
        <w:t xml:space="preserve">., </w:t>
      </w:r>
      <w:r w:rsidRPr="004812AB">
        <w:rPr>
          <w:sz w:val="20"/>
          <w:szCs w:val="20"/>
          <w:lang w:val="en-US"/>
        </w:rPr>
        <w:t>Oreskes, T</w:t>
      </w:r>
      <w:r>
        <w:rPr>
          <w:sz w:val="20"/>
          <w:szCs w:val="20"/>
          <w:lang w:val="en-US"/>
        </w:rPr>
        <w:t>.</w:t>
      </w:r>
      <w:r w:rsidRPr="004812AB">
        <w:rPr>
          <w:sz w:val="20"/>
          <w:szCs w:val="20"/>
          <w:lang w:val="en-US"/>
        </w:rPr>
        <w:t xml:space="preserve"> M</w:t>
      </w:r>
      <w:r>
        <w:rPr>
          <w:sz w:val="20"/>
          <w:szCs w:val="20"/>
          <w:lang w:val="en-US"/>
        </w:rPr>
        <w:t>.,</w:t>
      </w:r>
      <w:r w:rsidRPr="004812AB">
        <w:rPr>
          <w:sz w:val="20"/>
          <w:szCs w:val="20"/>
          <w:lang w:val="en-US"/>
        </w:rPr>
        <w:t xml:space="preserve"> </w:t>
      </w:r>
      <w:proofErr w:type="spellStart"/>
      <w:r w:rsidRPr="004812AB">
        <w:rPr>
          <w:sz w:val="20"/>
          <w:szCs w:val="20"/>
          <w:lang w:val="en-US"/>
        </w:rPr>
        <w:t>Lenton</w:t>
      </w:r>
      <w:proofErr w:type="spellEnd"/>
      <w:r w:rsidRPr="004812AB">
        <w:rPr>
          <w:sz w:val="20"/>
          <w:szCs w:val="20"/>
          <w:lang w:val="en-US"/>
        </w:rPr>
        <w:t>, S</w:t>
      </w:r>
      <w:r>
        <w:rPr>
          <w:sz w:val="20"/>
          <w:szCs w:val="20"/>
          <w:lang w:val="en-US"/>
        </w:rPr>
        <w:t>.,</w:t>
      </w:r>
      <w:r w:rsidRPr="004812AB">
        <w:rPr>
          <w:sz w:val="20"/>
          <w:szCs w:val="20"/>
          <w:lang w:val="en-US"/>
        </w:rPr>
        <w:t xml:space="preserve"> </w:t>
      </w:r>
      <w:proofErr w:type="spellStart"/>
      <w:r w:rsidRPr="004812AB">
        <w:rPr>
          <w:sz w:val="20"/>
          <w:szCs w:val="20"/>
          <w:lang w:val="en-US"/>
        </w:rPr>
        <w:t>Rahmstorf</w:t>
      </w:r>
      <w:proofErr w:type="spellEnd"/>
      <w:r w:rsidRPr="004812AB">
        <w:rPr>
          <w:sz w:val="20"/>
          <w:szCs w:val="20"/>
          <w:lang w:val="en-US"/>
        </w:rPr>
        <w:t>, T</w:t>
      </w:r>
      <w:r>
        <w:rPr>
          <w:sz w:val="20"/>
          <w:szCs w:val="20"/>
          <w:lang w:val="en-US"/>
        </w:rPr>
        <w:t>.</w:t>
      </w:r>
      <w:r w:rsidRPr="004812AB">
        <w:rPr>
          <w:sz w:val="20"/>
          <w:szCs w:val="20"/>
          <w:lang w:val="en-US"/>
        </w:rPr>
        <w:t xml:space="preserve"> M</w:t>
      </w:r>
      <w:r>
        <w:rPr>
          <w:sz w:val="20"/>
          <w:szCs w:val="20"/>
          <w:lang w:val="en-US"/>
        </w:rPr>
        <w:t>.,</w:t>
      </w:r>
      <w:r w:rsidRPr="004812AB">
        <w:rPr>
          <w:sz w:val="20"/>
          <w:szCs w:val="20"/>
          <w:lang w:val="en-US"/>
        </w:rPr>
        <w:t xml:space="preserve"> Newsome, </w:t>
      </w:r>
      <w:r>
        <w:rPr>
          <w:sz w:val="20"/>
          <w:szCs w:val="20"/>
          <w:lang w:val="en-US"/>
        </w:rPr>
        <w:t>C.,</w:t>
      </w:r>
      <w:r w:rsidRPr="004812AB">
        <w:rPr>
          <w:sz w:val="20"/>
          <w:szCs w:val="20"/>
          <w:lang w:val="en-US"/>
        </w:rPr>
        <w:t xml:space="preserve"> Xu, J</w:t>
      </w:r>
      <w:r>
        <w:rPr>
          <w:sz w:val="20"/>
          <w:szCs w:val="20"/>
          <w:lang w:val="en-US"/>
        </w:rPr>
        <w:t>.,</w:t>
      </w:r>
      <w:r w:rsidRPr="004812AB">
        <w:rPr>
          <w:sz w:val="20"/>
          <w:szCs w:val="20"/>
          <w:lang w:val="en-US"/>
        </w:rPr>
        <w:t xml:space="preserve"> </w:t>
      </w:r>
      <w:proofErr w:type="spellStart"/>
      <w:r w:rsidRPr="004812AB">
        <w:rPr>
          <w:sz w:val="20"/>
          <w:szCs w:val="20"/>
          <w:lang w:val="en-US"/>
        </w:rPr>
        <w:t>Svenning</w:t>
      </w:r>
      <w:proofErr w:type="spellEnd"/>
      <w:r w:rsidRPr="004812AB">
        <w:rPr>
          <w:sz w:val="20"/>
          <w:szCs w:val="20"/>
          <w:lang w:val="en-US"/>
        </w:rPr>
        <w:t>, C</w:t>
      </w:r>
      <w:r>
        <w:rPr>
          <w:sz w:val="20"/>
          <w:szCs w:val="20"/>
          <w:lang w:val="en-US"/>
        </w:rPr>
        <w:t>.,</w:t>
      </w:r>
      <w:r w:rsidRPr="004812AB">
        <w:rPr>
          <w:sz w:val="20"/>
          <w:szCs w:val="20"/>
          <w:lang w:val="en-US"/>
        </w:rPr>
        <w:t xml:space="preserve"> Cardoso</w:t>
      </w:r>
      <w:r>
        <w:rPr>
          <w:sz w:val="20"/>
          <w:szCs w:val="20"/>
          <w:lang w:val="en-US"/>
        </w:rPr>
        <w:t>-</w:t>
      </w:r>
      <w:r w:rsidRPr="004812AB">
        <w:rPr>
          <w:sz w:val="20"/>
          <w:szCs w:val="20"/>
          <w:lang w:val="en-US"/>
        </w:rPr>
        <w:t>Pereira, B</w:t>
      </w:r>
      <w:r>
        <w:rPr>
          <w:sz w:val="20"/>
          <w:szCs w:val="20"/>
          <w:lang w:val="en-US"/>
        </w:rPr>
        <w:t>.</w:t>
      </w:r>
      <w:r w:rsidRPr="004812AB">
        <w:rPr>
          <w:sz w:val="20"/>
          <w:szCs w:val="20"/>
          <w:lang w:val="en-US"/>
        </w:rPr>
        <w:t xml:space="preserve"> E</w:t>
      </w:r>
      <w:r>
        <w:rPr>
          <w:sz w:val="20"/>
          <w:szCs w:val="20"/>
          <w:lang w:val="en-US"/>
        </w:rPr>
        <w:t>.,</w:t>
      </w:r>
      <w:r w:rsidRPr="004812AB">
        <w:rPr>
          <w:sz w:val="20"/>
          <w:szCs w:val="20"/>
          <w:lang w:val="en-US"/>
        </w:rPr>
        <w:t xml:space="preserve"> Law, </w:t>
      </w:r>
      <w:r w:rsidR="00404D0E">
        <w:rPr>
          <w:sz w:val="20"/>
          <w:szCs w:val="20"/>
          <w:lang w:val="en-US"/>
        </w:rPr>
        <w:t xml:space="preserve">&amp; </w:t>
      </w:r>
      <w:r w:rsidRPr="004812AB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.,</w:t>
      </w:r>
      <w:r w:rsidRPr="004812AB">
        <w:rPr>
          <w:sz w:val="20"/>
          <w:szCs w:val="20"/>
          <w:lang w:val="en-US"/>
        </w:rPr>
        <w:t xml:space="preserve"> W Crowther (2024). The 2024 state of the climate report: Perilous times on planet Earth Free</w:t>
      </w:r>
      <w:r>
        <w:rPr>
          <w:sz w:val="20"/>
          <w:szCs w:val="20"/>
          <w:lang w:val="en-US"/>
        </w:rPr>
        <w:t xml:space="preserve">. </w:t>
      </w:r>
      <w:proofErr w:type="spellStart"/>
      <w:r w:rsidRPr="004812AB">
        <w:rPr>
          <w:i/>
          <w:iCs/>
          <w:sz w:val="20"/>
          <w:szCs w:val="20"/>
          <w:lang w:val="en-US"/>
        </w:rPr>
        <w:t>BioScience</w:t>
      </w:r>
      <w:proofErr w:type="spellEnd"/>
      <w:r w:rsidRPr="004812AB">
        <w:rPr>
          <w:sz w:val="20"/>
          <w:szCs w:val="20"/>
          <w:lang w:val="en-US"/>
        </w:rPr>
        <w:t>, 74,12,</w:t>
      </w:r>
      <w:r>
        <w:rPr>
          <w:sz w:val="20"/>
          <w:szCs w:val="20"/>
          <w:lang w:val="en-US"/>
        </w:rPr>
        <w:t xml:space="preserve"> </w:t>
      </w:r>
      <w:r w:rsidRPr="004812AB">
        <w:rPr>
          <w:sz w:val="20"/>
          <w:szCs w:val="20"/>
          <w:lang w:val="en-US"/>
        </w:rPr>
        <w:t>812–824, </w:t>
      </w:r>
      <w:hyperlink r:id="rId11" w:history="1">
        <w:r w:rsidRPr="004812AB">
          <w:rPr>
            <w:rStyle w:val="Hipervnculo"/>
            <w:sz w:val="20"/>
            <w:szCs w:val="20"/>
            <w:lang w:val="en-US"/>
          </w:rPr>
          <w:t>https://doi.org/10.1093/biosci/biae087</w:t>
        </w:r>
      </w:hyperlink>
    </w:p>
    <w:sectPr w:rsidR="009F7BC8" w:rsidRPr="004812AB" w:rsidSect="00863957">
      <w:head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AC7A" w14:textId="77777777" w:rsidR="004D1494" w:rsidRDefault="004D1494" w:rsidP="005336F4">
      <w:pPr>
        <w:spacing w:after="0" w:line="240" w:lineRule="auto"/>
      </w:pPr>
      <w:r>
        <w:separator/>
      </w:r>
    </w:p>
  </w:endnote>
  <w:endnote w:type="continuationSeparator" w:id="0">
    <w:p w14:paraId="4B000889" w14:textId="77777777" w:rsidR="004D1494" w:rsidRDefault="004D1494" w:rsidP="0053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65B2" w14:textId="77777777" w:rsidR="004D1494" w:rsidRDefault="004D1494" w:rsidP="005336F4">
      <w:pPr>
        <w:spacing w:after="0" w:line="240" w:lineRule="auto"/>
      </w:pPr>
      <w:r>
        <w:separator/>
      </w:r>
    </w:p>
  </w:footnote>
  <w:footnote w:type="continuationSeparator" w:id="0">
    <w:p w14:paraId="47C8926C" w14:textId="77777777" w:rsidR="004D1494" w:rsidRDefault="004D1494" w:rsidP="0053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0E9A" w14:textId="710805B5" w:rsidR="004A35FC" w:rsidRPr="004A35FC" w:rsidRDefault="005336F4">
    <w:pPr>
      <w:pStyle w:val="Encabezado"/>
      <w:rPr>
        <w:sz w:val="20"/>
        <w:szCs w:val="20"/>
      </w:rPr>
    </w:pPr>
    <w:r w:rsidRPr="004A35FC">
      <w:rPr>
        <w:sz w:val="20"/>
        <w:szCs w:val="20"/>
      </w:rPr>
      <w:t>FONDECYT 125</w:t>
    </w:r>
    <w:r w:rsidR="004A35FC" w:rsidRPr="004A35FC">
      <w:rPr>
        <w:sz w:val="20"/>
        <w:szCs w:val="20"/>
      </w:rPr>
      <w:t>1872</w:t>
    </w:r>
  </w:p>
  <w:p w14:paraId="0B3456F8" w14:textId="77777777" w:rsidR="005336F4" w:rsidRDefault="005336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208"/>
    <w:multiLevelType w:val="hybridMultilevel"/>
    <w:tmpl w:val="D1E619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F4"/>
    <w:rsid w:val="001D4138"/>
    <w:rsid w:val="00225056"/>
    <w:rsid w:val="002A561B"/>
    <w:rsid w:val="002C6E09"/>
    <w:rsid w:val="003A08CD"/>
    <w:rsid w:val="00404D0E"/>
    <w:rsid w:val="00416DA5"/>
    <w:rsid w:val="00465FCC"/>
    <w:rsid w:val="0047242B"/>
    <w:rsid w:val="004801BF"/>
    <w:rsid w:val="004812AB"/>
    <w:rsid w:val="004A35FC"/>
    <w:rsid w:val="004D1494"/>
    <w:rsid w:val="004F28BF"/>
    <w:rsid w:val="004F5BAE"/>
    <w:rsid w:val="00502EF6"/>
    <w:rsid w:val="00503309"/>
    <w:rsid w:val="005336F4"/>
    <w:rsid w:val="005740F1"/>
    <w:rsid w:val="006033BF"/>
    <w:rsid w:val="006318C5"/>
    <w:rsid w:val="00636E43"/>
    <w:rsid w:val="00641AC1"/>
    <w:rsid w:val="00672A87"/>
    <w:rsid w:val="00682024"/>
    <w:rsid w:val="006C7FFE"/>
    <w:rsid w:val="007317E0"/>
    <w:rsid w:val="00745C49"/>
    <w:rsid w:val="0085030F"/>
    <w:rsid w:val="00852FB6"/>
    <w:rsid w:val="00863957"/>
    <w:rsid w:val="00880AAD"/>
    <w:rsid w:val="00915228"/>
    <w:rsid w:val="009D57EA"/>
    <w:rsid w:val="009F7BC8"/>
    <w:rsid w:val="00A57931"/>
    <w:rsid w:val="00AE365E"/>
    <w:rsid w:val="00B45E6A"/>
    <w:rsid w:val="00B53560"/>
    <w:rsid w:val="00BC23F3"/>
    <w:rsid w:val="00CD4C34"/>
    <w:rsid w:val="00D57AE3"/>
    <w:rsid w:val="00D731F8"/>
    <w:rsid w:val="00E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6C93"/>
  <w15:chartTrackingRefBased/>
  <w15:docId w15:val="{4B7316EB-8904-4B1A-8879-2A9F6231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3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6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6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6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6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6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6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6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6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6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6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6F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3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6F4"/>
  </w:style>
  <w:style w:type="paragraph" w:styleId="Piedepgina">
    <w:name w:val="footer"/>
    <w:basedOn w:val="Normal"/>
    <w:link w:val="PiedepginaCar"/>
    <w:uiPriority w:val="99"/>
    <w:unhideWhenUsed/>
    <w:rsid w:val="00533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6F4"/>
  </w:style>
  <w:style w:type="character" w:styleId="Hipervnculo">
    <w:name w:val="Hyperlink"/>
    <w:basedOn w:val="Fuentedeprrafopredeter"/>
    <w:uiPriority w:val="99"/>
    <w:unhideWhenUsed/>
    <w:rsid w:val="00863957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35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Revisin">
    <w:name w:val="Revision"/>
    <w:hidden/>
    <w:uiPriority w:val="99"/>
    <w:semiHidden/>
    <w:rsid w:val="006C7F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af.cl/centro-documental/ocurrencia-y-dano-historico-nacional-1985-202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3/biosci/biae08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02/ecm.1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matologia.meteochile.gob.cl/application/historico/temperaturaHistoricaAnual/410005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isco%20Duro\HERNAN\fondecyt%202025\PCK%20CClimatico%20y%20NOS\curso%20invierno%202025\1.-%20Ocurrencia%20y%20Da&#241;o%20Hist&#243;rico%20Nacional,%201985%20-%202024_octubr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CL"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rPr>
              <a:t>Daño Nacional Histórico</a:t>
            </a:r>
          </a:p>
          <a:p>
            <a:pPr>
              <a:defRPr sz="14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CL"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rPr>
              <a:t>1964-2024</a:t>
            </a:r>
          </a:p>
        </c:rich>
      </c:tx>
      <c:layout>
        <c:manualLayout>
          <c:xMode val="edge"/>
          <c:yMode val="edge"/>
          <c:x val="0.40840678340345166"/>
          <c:y val="3.61174871591235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8868617887461"/>
          <c:y val="2.4102512344337131E-2"/>
          <c:w val="0.81551098300994795"/>
          <c:h val="0.78465357881925279"/>
        </c:manualLayout>
      </c:layout>
      <c:lineChart>
        <c:grouping val="standard"/>
        <c:varyColors val="0"/>
        <c:ser>
          <c:idx val="0"/>
          <c:order val="0"/>
          <c:spPr>
            <a:ln w="34925"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0-B09C-476A-A03A-AA924A75C031}"/>
              </c:ext>
            </c:extLst>
          </c:dPt>
          <c:dPt>
            <c:idx val="20"/>
            <c:bubble3D val="0"/>
            <c:extLst>
              <c:ext xmlns:c16="http://schemas.microsoft.com/office/drawing/2014/chart" uri="{C3380CC4-5D6E-409C-BE32-E72D297353CC}">
                <c16:uniqueId val="{00000001-B09C-476A-A03A-AA924A75C031}"/>
              </c:ext>
            </c:extLst>
          </c:dPt>
          <c:dPt>
            <c:idx val="23"/>
            <c:bubble3D val="0"/>
            <c:extLst>
              <c:ext xmlns:c16="http://schemas.microsoft.com/office/drawing/2014/chart" uri="{C3380CC4-5D6E-409C-BE32-E72D297353CC}">
                <c16:uniqueId val="{00000002-B09C-476A-A03A-AA924A75C031}"/>
              </c:ext>
            </c:extLst>
          </c:dPt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03-B09C-476A-A03A-AA924A75C031}"/>
              </c:ext>
            </c:extLst>
          </c:dPt>
          <c:dPt>
            <c:idx val="25"/>
            <c:bubble3D val="0"/>
            <c:extLst>
              <c:ext xmlns:c16="http://schemas.microsoft.com/office/drawing/2014/chart" uri="{C3380CC4-5D6E-409C-BE32-E72D297353CC}">
                <c16:uniqueId val="{00000004-B09C-476A-A03A-AA924A75C031}"/>
              </c:ext>
            </c:extLst>
          </c:dPt>
          <c:dPt>
            <c:idx val="34"/>
            <c:bubble3D val="0"/>
            <c:extLst>
              <c:ext xmlns:c16="http://schemas.microsoft.com/office/drawing/2014/chart" uri="{C3380CC4-5D6E-409C-BE32-E72D297353CC}">
                <c16:uniqueId val="{00000005-B09C-476A-A03A-AA924A75C031}"/>
              </c:ext>
            </c:extLst>
          </c:dPt>
          <c:dPt>
            <c:idx val="35"/>
            <c:bubble3D val="0"/>
            <c:extLst>
              <c:ext xmlns:c16="http://schemas.microsoft.com/office/drawing/2014/chart" uri="{C3380CC4-5D6E-409C-BE32-E72D297353CC}">
                <c16:uniqueId val="{00000006-B09C-476A-A03A-AA924A75C031}"/>
              </c:ext>
            </c:extLst>
          </c:dPt>
          <c:dPt>
            <c:idx val="38"/>
            <c:bubble3D val="0"/>
            <c:extLst>
              <c:ext xmlns:c16="http://schemas.microsoft.com/office/drawing/2014/chart" uri="{C3380CC4-5D6E-409C-BE32-E72D297353CC}">
                <c16:uniqueId val="{00000007-B09C-476A-A03A-AA924A75C031}"/>
              </c:ext>
            </c:extLst>
          </c:dPt>
          <c:dPt>
            <c:idx val="48"/>
            <c:bubble3D val="0"/>
            <c:extLst>
              <c:ext xmlns:c16="http://schemas.microsoft.com/office/drawing/2014/chart" uri="{C3380CC4-5D6E-409C-BE32-E72D297353CC}">
                <c16:uniqueId val="{00000008-B09C-476A-A03A-AA924A75C031}"/>
              </c:ext>
            </c:extLst>
          </c:dPt>
          <c:cat>
            <c:strRef>
              <c:f>Historico!$D$11:$D$71</c:f>
              <c:strCache>
                <c:ptCount val="61"/>
                <c:pt idx="0">
                  <c:v>64</c:v>
                </c:pt>
                <c:pt idx="1">
                  <c:v>65</c:v>
                </c:pt>
                <c:pt idx="2">
                  <c:v>66</c:v>
                </c:pt>
                <c:pt idx="3">
                  <c:v>67</c:v>
                </c:pt>
                <c:pt idx="4">
                  <c:v>68</c:v>
                </c:pt>
                <c:pt idx="5">
                  <c:v>69</c:v>
                </c:pt>
                <c:pt idx="6">
                  <c:v>70</c:v>
                </c:pt>
                <c:pt idx="7">
                  <c:v>71</c:v>
                </c:pt>
                <c:pt idx="8">
                  <c:v>72</c:v>
                </c:pt>
                <c:pt idx="9">
                  <c:v>73</c:v>
                </c:pt>
                <c:pt idx="10">
                  <c:v>74</c:v>
                </c:pt>
                <c:pt idx="11">
                  <c:v>75</c:v>
                </c:pt>
                <c:pt idx="12">
                  <c:v>76</c:v>
                </c:pt>
                <c:pt idx="13">
                  <c:v>77</c:v>
                </c:pt>
                <c:pt idx="14">
                  <c:v>78</c:v>
                </c:pt>
                <c:pt idx="15">
                  <c:v>79</c:v>
                </c:pt>
                <c:pt idx="16">
                  <c:v>80</c:v>
                </c:pt>
                <c:pt idx="17">
                  <c:v>81</c:v>
                </c:pt>
                <c:pt idx="18">
                  <c:v>82</c:v>
                </c:pt>
                <c:pt idx="19">
                  <c:v>83</c:v>
                </c:pt>
                <c:pt idx="20">
                  <c:v>84</c:v>
                </c:pt>
                <c:pt idx="21">
                  <c:v>85</c:v>
                </c:pt>
                <c:pt idx="22">
                  <c:v>86</c:v>
                </c:pt>
                <c:pt idx="23">
                  <c:v>87</c:v>
                </c:pt>
                <c:pt idx="24">
                  <c:v>88</c:v>
                </c:pt>
                <c:pt idx="25">
                  <c:v>89</c:v>
                </c:pt>
                <c:pt idx="26">
                  <c:v>90</c:v>
                </c:pt>
                <c:pt idx="27">
                  <c:v>91</c:v>
                </c:pt>
                <c:pt idx="28">
                  <c:v>92</c:v>
                </c:pt>
                <c:pt idx="29">
                  <c:v>93</c:v>
                </c:pt>
                <c:pt idx="30">
                  <c:v>94</c:v>
                </c:pt>
                <c:pt idx="31">
                  <c:v>95</c:v>
                </c:pt>
                <c:pt idx="32">
                  <c:v>96</c:v>
                </c:pt>
                <c:pt idx="33">
                  <c:v>97</c:v>
                </c:pt>
                <c:pt idx="34">
                  <c:v>98</c:v>
                </c:pt>
                <c:pt idx="35">
                  <c:v>99</c:v>
                </c:pt>
                <c:pt idx="36">
                  <c:v>00</c:v>
                </c:pt>
                <c:pt idx="37">
                  <c:v>01</c:v>
                </c:pt>
                <c:pt idx="38">
                  <c:v>02</c:v>
                </c:pt>
                <c:pt idx="39">
                  <c:v>03</c:v>
                </c:pt>
                <c:pt idx="40">
                  <c:v>04</c:v>
                </c:pt>
                <c:pt idx="41">
                  <c:v>05</c:v>
                </c:pt>
                <c:pt idx="42">
                  <c:v>06</c:v>
                </c:pt>
                <c:pt idx="43">
                  <c:v>07</c:v>
                </c:pt>
                <c:pt idx="44">
                  <c:v>08</c:v>
                </c:pt>
                <c:pt idx="45">
                  <c:v>09</c:v>
                </c:pt>
                <c:pt idx="46">
                  <c:v>10</c:v>
                </c:pt>
                <c:pt idx="47">
                  <c:v>11</c:v>
                </c:pt>
                <c:pt idx="48">
                  <c:v>12</c:v>
                </c:pt>
                <c:pt idx="49">
                  <c:v>13</c:v>
                </c:pt>
                <c:pt idx="50">
                  <c:v>14</c:v>
                </c:pt>
                <c:pt idx="51">
                  <c:v>15</c:v>
                </c:pt>
                <c:pt idx="52">
                  <c:v>16</c:v>
                </c:pt>
                <c:pt idx="53">
                  <c:v>17</c:v>
                </c:pt>
                <c:pt idx="54">
                  <c:v>18</c:v>
                </c:pt>
                <c:pt idx="55">
                  <c:v>19</c:v>
                </c:pt>
                <c:pt idx="56">
                  <c:v>20</c:v>
                </c:pt>
                <c:pt idx="57">
                  <c:v>21</c:v>
                </c:pt>
                <c:pt idx="58">
                  <c:v>22</c:v>
                </c:pt>
                <c:pt idx="59">
                  <c:v>23</c:v>
                </c:pt>
                <c:pt idx="60">
                  <c:v>24</c:v>
                </c:pt>
              </c:strCache>
            </c:strRef>
          </c:cat>
          <c:val>
            <c:numRef>
              <c:f>Historico!$F$11:$F$71</c:f>
              <c:numCache>
                <c:formatCode>#,##0</c:formatCode>
                <c:ptCount val="61"/>
                <c:pt idx="0">
                  <c:v>19600</c:v>
                </c:pt>
                <c:pt idx="1">
                  <c:v>17200</c:v>
                </c:pt>
                <c:pt idx="2">
                  <c:v>19900</c:v>
                </c:pt>
                <c:pt idx="3">
                  <c:v>15820</c:v>
                </c:pt>
                <c:pt idx="4">
                  <c:v>61314</c:v>
                </c:pt>
                <c:pt idx="5">
                  <c:v>34747</c:v>
                </c:pt>
                <c:pt idx="6">
                  <c:v>16725</c:v>
                </c:pt>
                <c:pt idx="7">
                  <c:v>22603</c:v>
                </c:pt>
                <c:pt idx="8">
                  <c:v>81570</c:v>
                </c:pt>
                <c:pt idx="9">
                  <c:v>42763</c:v>
                </c:pt>
                <c:pt idx="10">
                  <c:v>19162</c:v>
                </c:pt>
                <c:pt idx="11">
                  <c:v>9604</c:v>
                </c:pt>
                <c:pt idx="12">
                  <c:v>24266</c:v>
                </c:pt>
                <c:pt idx="13">
                  <c:v>26458</c:v>
                </c:pt>
                <c:pt idx="14">
                  <c:v>29963</c:v>
                </c:pt>
                <c:pt idx="15">
                  <c:v>76215</c:v>
                </c:pt>
                <c:pt idx="16">
                  <c:v>22535</c:v>
                </c:pt>
                <c:pt idx="17">
                  <c:v>32056</c:v>
                </c:pt>
                <c:pt idx="18">
                  <c:v>26842</c:v>
                </c:pt>
                <c:pt idx="19">
                  <c:v>45748</c:v>
                </c:pt>
                <c:pt idx="20">
                  <c:v>80191</c:v>
                </c:pt>
                <c:pt idx="21">
                  <c:v>47572</c:v>
                </c:pt>
                <c:pt idx="22">
                  <c:v>67414</c:v>
                </c:pt>
                <c:pt idx="23">
                  <c:v>97055</c:v>
                </c:pt>
                <c:pt idx="24">
                  <c:v>85836.6</c:v>
                </c:pt>
                <c:pt idx="25">
                  <c:v>88062</c:v>
                </c:pt>
                <c:pt idx="26">
                  <c:v>25545</c:v>
                </c:pt>
                <c:pt idx="27">
                  <c:v>50273</c:v>
                </c:pt>
                <c:pt idx="28">
                  <c:v>24224</c:v>
                </c:pt>
                <c:pt idx="29">
                  <c:v>49981</c:v>
                </c:pt>
                <c:pt idx="30">
                  <c:v>65606</c:v>
                </c:pt>
                <c:pt idx="31">
                  <c:v>26174</c:v>
                </c:pt>
                <c:pt idx="32">
                  <c:v>40081</c:v>
                </c:pt>
                <c:pt idx="33">
                  <c:v>43592</c:v>
                </c:pt>
                <c:pt idx="34">
                  <c:v>90886.73</c:v>
                </c:pt>
                <c:pt idx="35">
                  <c:v>101691</c:v>
                </c:pt>
                <c:pt idx="36">
                  <c:v>17183</c:v>
                </c:pt>
                <c:pt idx="37">
                  <c:v>10921</c:v>
                </c:pt>
                <c:pt idx="38">
                  <c:v>90069</c:v>
                </c:pt>
                <c:pt idx="39">
                  <c:v>41988</c:v>
                </c:pt>
                <c:pt idx="40">
                  <c:v>50687</c:v>
                </c:pt>
                <c:pt idx="41">
                  <c:v>65300</c:v>
                </c:pt>
                <c:pt idx="42">
                  <c:v>19349</c:v>
                </c:pt>
                <c:pt idx="43">
                  <c:v>43404</c:v>
                </c:pt>
                <c:pt idx="44">
                  <c:v>42062.74</c:v>
                </c:pt>
                <c:pt idx="45">
                  <c:v>64875.350000000006</c:v>
                </c:pt>
                <c:pt idx="46">
                  <c:v>58364.12</c:v>
                </c:pt>
                <c:pt idx="47">
                  <c:v>47040.310000000005</c:v>
                </c:pt>
                <c:pt idx="48">
                  <c:v>90279</c:v>
                </c:pt>
                <c:pt idx="49">
                  <c:v>17109.400000000001</c:v>
                </c:pt>
                <c:pt idx="50">
                  <c:v>105992.24</c:v>
                </c:pt>
                <c:pt idx="51">
                  <c:v>128654.40549999999</c:v>
                </c:pt>
                <c:pt idx="52">
                  <c:v>42096.7</c:v>
                </c:pt>
                <c:pt idx="53">
                  <c:v>570197.39420000603</c:v>
                </c:pt>
                <c:pt idx="54">
                  <c:v>39554.003700000001</c:v>
                </c:pt>
                <c:pt idx="55">
                  <c:v>80064.19</c:v>
                </c:pt>
                <c:pt idx="56">
                  <c:v>102291.67</c:v>
                </c:pt>
                <c:pt idx="57">
                  <c:v>35622.879999999997</c:v>
                </c:pt>
                <c:pt idx="58">
                  <c:v>125335.08199999999</c:v>
                </c:pt>
                <c:pt idx="59">
                  <c:v>429103.00559999997</c:v>
                </c:pt>
                <c:pt idx="60">
                  <c:v>73834.589200000002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09C-476A-A03A-AA924A75C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22720368"/>
        <c:axId val="-1022719280"/>
      </c:lineChart>
      <c:catAx>
        <c:axId val="-10227203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CL" sz="1600"/>
                  <a:t>Temporada</a:t>
                </a:r>
              </a:p>
            </c:rich>
          </c:tx>
          <c:layout>
            <c:manualLayout>
              <c:xMode val="edge"/>
              <c:yMode val="edge"/>
              <c:x val="0.47444855717821599"/>
              <c:y val="0.92593097112860878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/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L"/>
          </a:p>
        </c:txPr>
        <c:crossAx val="-1022719280"/>
        <c:crossesAt val="0"/>
        <c:auto val="1"/>
        <c:lblAlgn val="ctr"/>
        <c:lblOffset val="100"/>
        <c:tickLblSkip val="2"/>
        <c:tickMarkSkip val="10"/>
        <c:noMultiLvlLbl val="0"/>
      </c:catAx>
      <c:valAx>
        <c:axId val="-1022719280"/>
        <c:scaling>
          <c:logBase val="10"/>
          <c:orientation val="minMax"/>
          <c:min val="10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6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s-CL" sz="1600"/>
                  <a:t>Hectáreas (ln)</a:t>
                </a:r>
              </a:p>
            </c:rich>
          </c:tx>
          <c:layout>
            <c:manualLayout>
              <c:xMode val="edge"/>
              <c:yMode val="edge"/>
              <c:x val="1.5200438452955023E-2"/>
              <c:y val="0.1989233356900498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L"/>
          </a:p>
        </c:txPr>
        <c:crossAx val="-1022720368"/>
        <c:crossesAt val="1"/>
        <c:crossBetween val="midCat"/>
      </c:valAx>
      <c:spPr>
        <a:solidFill>
          <a:schemeClr val="bg1"/>
        </a:solidFill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1292</Words>
  <Characters>7107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Cofré Mardones</dc:creator>
  <cp:keywords/>
  <dc:description/>
  <cp:lastModifiedBy>Hernán Cofré</cp:lastModifiedBy>
  <cp:revision>5</cp:revision>
  <dcterms:created xsi:type="dcterms:W3CDTF">2026-01-14T03:22:00Z</dcterms:created>
  <dcterms:modified xsi:type="dcterms:W3CDTF">2026-01-14T03:35:00Z</dcterms:modified>
</cp:coreProperties>
</file>